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DC1B" w14:textId="430FCA79" w:rsidR="00A03F84" w:rsidRPr="0084147E" w:rsidRDefault="00A03F84" w:rsidP="00DB0079">
      <w:pPr>
        <w:suppressAutoHyphens/>
        <w:spacing w:after="0"/>
        <w:rPr>
          <w:rFonts w:ascii="Aptos" w:eastAsia="Times New Roman" w:hAnsi="Aptos"/>
          <w:b/>
          <w:sz w:val="24"/>
          <w:szCs w:val="24"/>
          <w:lang w:eastAsia="ar-SA"/>
        </w:rPr>
      </w:pPr>
      <w:r w:rsidRPr="0084147E">
        <w:rPr>
          <w:rFonts w:ascii="Aptos" w:eastAsia="Times New Roman" w:hAnsi="Aptos"/>
          <w:b/>
          <w:sz w:val="24"/>
          <w:szCs w:val="24"/>
          <w:lang w:eastAsia="ar-SA"/>
        </w:rPr>
        <w:t xml:space="preserve">REMUNERATION COMMITTEE –TERMS OF REFERENCE </w:t>
      </w:r>
      <w:r w:rsidR="00F83E4A" w:rsidRPr="0084147E">
        <w:rPr>
          <w:rFonts w:ascii="Aptos" w:eastAsia="Times New Roman" w:hAnsi="Aptos"/>
          <w:b/>
          <w:sz w:val="24"/>
          <w:szCs w:val="24"/>
          <w:lang w:eastAsia="ar-SA"/>
        </w:rPr>
        <w:t>202</w:t>
      </w:r>
      <w:r w:rsidR="00F83E4A">
        <w:rPr>
          <w:rFonts w:ascii="Aptos" w:eastAsia="Times New Roman" w:hAnsi="Aptos"/>
          <w:b/>
          <w:sz w:val="24"/>
          <w:szCs w:val="24"/>
          <w:lang w:eastAsia="ar-SA"/>
        </w:rPr>
        <w:t>5</w:t>
      </w:r>
      <w:r w:rsidRPr="0084147E">
        <w:rPr>
          <w:rFonts w:ascii="Aptos" w:eastAsia="Times New Roman" w:hAnsi="Aptos"/>
          <w:b/>
          <w:sz w:val="24"/>
          <w:szCs w:val="24"/>
          <w:lang w:eastAsia="ar-SA"/>
        </w:rPr>
        <w:t>-</w:t>
      </w:r>
      <w:r w:rsidR="00F83E4A" w:rsidRPr="0084147E">
        <w:rPr>
          <w:rFonts w:ascii="Aptos" w:eastAsia="Times New Roman" w:hAnsi="Aptos"/>
          <w:b/>
          <w:sz w:val="24"/>
          <w:szCs w:val="24"/>
          <w:lang w:eastAsia="ar-SA"/>
        </w:rPr>
        <w:t>2</w:t>
      </w:r>
      <w:r w:rsidR="00F83E4A">
        <w:rPr>
          <w:rFonts w:ascii="Aptos" w:eastAsia="Times New Roman" w:hAnsi="Aptos"/>
          <w:b/>
          <w:sz w:val="24"/>
          <w:szCs w:val="24"/>
          <w:lang w:eastAsia="ar-SA"/>
        </w:rPr>
        <w:t>6</w:t>
      </w:r>
    </w:p>
    <w:p w14:paraId="0BBCAF2F" w14:textId="77777777" w:rsidR="00A03F84" w:rsidRPr="0084147E" w:rsidRDefault="00A03F84" w:rsidP="00A03F84">
      <w:pPr>
        <w:suppressAutoHyphens/>
        <w:spacing w:after="0"/>
        <w:jc w:val="center"/>
        <w:rPr>
          <w:rFonts w:ascii="Aptos" w:eastAsia="Times New Roman" w:hAnsi="Aptos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34"/>
      </w:tblGrid>
      <w:tr w:rsidR="00A03F84" w:rsidRPr="0084147E" w14:paraId="5C92437B" w14:textId="77777777" w:rsidTr="00905B18">
        <w:trPr>
          <w:trHeight w:val="271"/>
        </w:trPr>
        <w:tc>
          <w:tcPr>
            <w:tcW w:w="2802" w:type="dxa"/>
          </w:tcPr>
          <w:p w14:paraId="60995A77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Composition: </w:t>
            </w:r>
          </w:p>
        </w:tc>
        <w:tc>
          <w:tcPr>
            <w:tcW w:w="5934" w:type="dxa"/>
          </w:tcPr>
          <w:p w14:paraId="76307080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Minimum of three members, no staff or student members are permitted</w:t>
            </w:r>
          </w:p>
          <w:p w14:paraId="3B58E692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While the Chief Executive is not permitted to sit on the committee as a formal member, he will usually attend all meetings as an adviser (leaving meetings when his own performance and remuneration is under consideration)  </w:t>
            </w:r>
          </w:p>
        </w:tc>
      </w:tr>
      <w:tr w:rsidR="00A03F84" w:rsidRPr="0084147E" w14:paraId="1DF4E179" w14:textId="77777777" w:rsidTr="00905B18">
        <w:trPr>
          <w:trHeight w:val="137"/>
        </w:trPr>
        <w:tc>
          <w:tcPr>
            <w:tcW w:w="2802" w:type="dxa"/>
          </w:tcPr>
          <w:p w14:paraId="7233BAB8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Quorum: </w:t>
            </w:r>
          </w:p>
        </w:tc>
        <w:tc>
          <w:tcPr>
            <w:tcW w:w="5934" w:type="dxa"/>
          </w:tcPr>
          <w:p w14:paraId="458F1A68" w14:textId="48A297F3" w:rsidR="00A03F84" w:rsidRPr="0084147E" w:rsidRDefault="00854EE5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M</w:t>
            </w:r>
            <w:r w:rsidR="00A03F8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inimum quorum of 3 </w:t>
            </w:r>
          </w:p>
        </w:tc>
      </w:tr>
      <w:tr w:rsidR="00A03F84" w:rsidRPr="0084147E" w14:paraId="1FAE3B4D" w14:textId="77777777" w:rsidTr="00905B18">
        <w:trPr>
          <w:trHeight w:val="137"/>
        </w:trPr>
        <w:tc>
          <w:tcPr>
            <w:tcW w:w="2802" w:type="dxa"/>
          </w:tcPr>
          <w:p w14:paraId="567AA2B1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hAnsi="Aptos"/>
                <w:sz w:val="24"/>
                <w:szCs w:val="24"/>
              </w:rPr>
              <w:t>Attendance:</w:t>
            </w:r>
          </w:p>
        </w:tc>
        <w:tc>
          <w:tcPr>
            <w:tcW w:w="5934" w:type="dxa"/>
          </w:tcPr>
          <w:p w14:paraId="39C041EF" w14:textId="2522431A" w:rsidR="00A03F84" w:rsidRPr="0084147E" w:rsidRDefault="00A03F84" w:rsidP="003B5ED7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hAnsi="Aptos"/>
                <w:sz w:val="24"/>
                <w:szCs w:val="24"/>
              </w:rPr>
              <w:t xml:space="preserve">The Corporation attendance target is 80%. Committee members are therefore expected to attend </w:t>
            </w:r>
            <w:proofErr w:type="gramStart"/>
            <w:r w:rsidR="00CA5A6B" w:rsidRPr="0084147E">
              <w:rPr>
                <w:rFonts w:ascii="Aptos" w:hAnsi="Aptos"/>
                <w:sz w:val="24"/>
                <w:szCs w:val="24"/>
              </w:rPr>
              <w:t>both of the meetings</w:t>
            </w:r>
            <w:proofErr w:type="gramEnd"/>
            <w:r w:rsidR="00CA5A6B" w:rsidRPr="0084147E">
              <w:rPr>
                <w:rFonts w:ascii="Aptos" w:hAnsi="Aptos"/>
                <w:sz w:val="24"/>
                <w:szCs w:val="24"/>
              </w:rPr>
              <w:t xml:space="preserve"> </w:t>
            </w:r>
            <w:r w:rsidRPr="0084147E">
              <w:rPr>
                <w:rFonts w:ascii="Aptos" w:hAnsi="Aptos"/>
                <w:sz w:val="24"/>
                <w:szCs w:val="24"/>
              </w:rPr>
              <w:t xml:space="preserve">scheduled in </w:t>
            </w:r>
            <w:r w:rsidR="00F83E4A" w:rsidRPr="0084147E">
              <w:rPr>
                <w:rFonts w:ascii="Aptos" w:hAnsi="Aptos"/>
                <w:sz w:val="24"/>
                <w:szCs w:val="24"/>
              </w:rPr>
              <w:t>202</w:t>
            </w:r>
            <w:r w:rsidR="00F83E4A">
              <w:rPr>
                <w:rFonts w:ascii="Aptos" w:hAnsi="Aptos"/>
                <w:sz w:val="24"/>
                <w:szCs w:val="24"/>
              </w:rPr>
              <w:t>5</w:t>
            </w:r>
            <w:r w:rsidRPr="0084147E">
              <w:rPr>
                <w:rFonts w:ascii="Aptos" w:hAnsi="Aptos"/>
                <w:sz w:val="24"/>
                <w:szCs w:val="24"/>
              </w:rPr>
              <w:t>-</w:t>
            </w:r>
            <w:r w:rsidR="00F83E4A" w:rsidRPr="0084147E">
              <w:rPr>
                <w:rFonts w:ascii="Aptos" w:hAnsi="Aptos"/>
                <w:sz w:val="24"/>
                <w:szCs w:val="24"/>
              </w:rPr>
              <w:t>2</w:t>
            </w:r>
            <w:r w:rsidR="00F83E4A">
              <w:rPr>
                <w:rFonts w:ascii="Aptos" w:hAnsi="Aptos"/>
                <w:sz w:val="24"/>
                <w:szCs w:val="24"/>
              </w:rPr>
              <w:t>6</w:t>
            </w:r>
          </w:p>
        </w:tc>
      </w:tr>
      <w:tr w:rsidR="00A03F84" w:rsidRPr="0084147E" w14:paraId="1107669B" w14:textId="77777777" w:rsidTr="00905B18">
        <w:trPr>
          <w:trHeight w:val="137"/>
        </w:trPr>
        <w:tc>
          <w:tcPr>
            <w:tcW w:w="2802" w:type="dxa"/>
          </w:tcPr>
          <w:p w14:paraId="7A25CBC4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Chair: </w:t>
            </w:r>
          </w:p>
        </w:tc>
        <w:tc>
          <w:tcPr>
            <w:tcW w:w="5934" w:type="dxa"/>
          </w:tcPr>
          <w:p w14:paraId="17071365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Selected by committee, reviewed annually </w:t>
            </w:r>
          </w:p>
          <w:p w14:paraId="057FC078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The Corporation Chair cannot chair the Remuneration Committee.</w:t>
            </w:r>
          </w:p>
        </w:tc>
      </w:tr>
      <w:tr w:rsidR="00A03F84" w:rsidRPr="0084147E" w14:paraId="693F1009" w14:textId="77777777" w:rsidTr="00905B18">
        <w:trPr>
          <w:trHeight w:val="137"/>
        </w:trPr>
        <w:tc>
          <w:tcPr>
            <w:tcW w:w="2802" w:type="dxa"/>
          </w:tcPr>
          <w:p w14:paraId="63F805D3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Meetings: </w:t>
            </w:r>
          </w:p>
        </w:tc>
        <w:tc>
          <w:tcPr>
            <w:tcW w:w="5934" w:type="dxa"/>
          </w:tcPr>
          <w:p w14:paraId="3D044E5D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At least one meeting annually </w:t>
            </w:r>
          </w:p>
        </w:tc>
      </w:tr>
      <w:tr w:rsidR="00A03F84" w:rsidRPr="0084147E" w14:paraId="17FCAF8D" w14:textId="77777777" w:rsidTr="00905B18">
        <w:trPr>
          <w:trHeight w:val="271"/>
        </w:trPr>
        <w:tc>
          <w:tcPr>
            <w:tcW w:w="2802" w:type="dxa"/>
          </w:tcPr>
          <w:p w14:paraId="335729B3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Public access to meetings: </w:t>
            </w:r>
          </w:p>
        </w:tc>
        <w:tc>
          <w:tcPr>
            <w:tcW w:w="5934" w:type="dxa"/>
          </w:tcPr>
          <w:p w14:paraId="31E7783E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By chair’s invitation, with members’ approval - see Standing Orders Section 12 </w:t>
            </w:r>
          </w:p>
        </w:tc>
      </w:tr>
      <w:tr w:rsidR="00A03F84" w:rsidRPr="0084147E" w14:paraId="29F2FEBF" w14:textId="77777777" w:rsidTr="00905B18">
        <w:trPr>
          <w:trHeight w:val="137"/>
        </w:trPr>
        <w:tc>
          <w:tcPr>
            <w:tcW w:w="2802" w:type="dxa"/>
          </w:tcPr>
          <w:p w14:paraId="53E78392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Conduct of meetings: </w:t>
            </w:r>
          </w:p>
        </w:tc>
        <w:tc>
          <w:tcPr>
            <w:tcW w:w="5934" w:type="dxa"/>
          </w:tcPr>
          <w:p w14:paraId="73AF5F96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See Standing Orders Section 5 </w:t>
            </w:r>
          </w:p>
        </w:tc>
      </w:tr>
      <w:tr w:rsidR="00A03F84" w:rsidRPr="0084147E" w14:paraId="0C480CCF" w14:textId="77777777" w:rsidTr="00905B18">
        <w:trPr>
          <w:trHeight w:val="137"/>
        </w:trPr>
        <w:tc>
          <w:tcPr>
            <w:tcW w:w="2802" w:type="dxa"/>
          </w:tcPr>
          <w:p w14:paraId="6A23A599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Minutes: </w:t>
            </w:r>
          </w:p>
        </w:tc>
        <w:tc>
          <w:tcPr>
            <w:tcW w:w="5934" w:type="dxa"/>
          </w:tcPr>
          <w:p w14:paraId="7494D1F8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Approval, see Standing Orders Section 4 vi</w:t>
            </w:r>
          </w:p>
        </w:tc>
      </w:tr>
      <w:tr w:rsidR="00A03F84" w:rsidRPr="0084147E" w14:paraId="49F79D96" w14:textId="77777777" w:rsidTr="00905B18">
        <w:trPr>
          <w:trHeight w:val="137"/>
        </w:trPr>
        <w:tc>
          <w:tcPr>
            <w:tcW w:w="2802" w:type="dxa"/>
          </w:tcPr>
          <w:p w14:paraId="43202276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Minutes: </w:t>
            </w:r>
          </w:p>
        </w:tc>
        <w:tc>
          <w:tcPr>
            <w:tcW w:w="5934" w:type="dxa"/>
          </w:tcPr>
          <w:p w14:paraId="42D6EAB9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Circulation/publication – see Standing Orders Section 10 </w:t>
            </w:r>
          </w:p>
        </w:tc>
      </w:tr>
      <w:tr w:rsidR="00A03F84" w:rsidRPr="0084147E" w14:paraId="77DAF91A" w14:textId="77777777" w:rsidTr="00905B18">
        <w:trPr>
          <w:trHeight w:val="1628"/>
        </w:trPr>
        <w:tc>
          <w:tcPr>
            <w:tcW w:w="2802" w:type="dxa"/>
          </w:tcPr>
          <w:p w14:paraId="3B65704A" w14:textId="77777777" w:rsidR="00A03F84" w:rsidRPr="0084147E" w:rsidRDefault="00A03F84" w:rsidP="00905B18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Key functions and delegated powers: </w:t>
            </w:r>
          </w:p>
        </w:tc>
        <w:tc>
          <w:tcPr>
            <w:tcW w:w="5934" w:type="dxa"/>
          </w:tcPr>
          <w:p w14:paraId="3D9196D5" w14:textId="1FEA11E8" w:rsidR="00A03F84" w:rsidRPr="0084147E" w:rsidRDefault="00A03F84" w:rsidP="00A03F84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7" w:hanging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To conduct its business in accordance with the provisions of the Colleges’ Senior Post Holder Remuneration Code, as adopted by the FE Corporation on</w:t>
            </w:r>
            <w:r w:rsidR="00DB0079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17 October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2019</w:t>
            </w:r>
            <w:r w:rsidR="000D3205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,</w:t>
            </w:r>
            <w:r w:rsidR="00B8187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and taking account of</w:t>
            </w:r>
            <w:r w:rsidR="00947155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</w:t>
            </w:r>
            <w:r w:rsidR="00BB4B4F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the College Financial Handbook, </w:t>
            </w:r>
            <w:r w:rsidR="00947155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HM Treasury’s </w:t>
            </w:r>
            <w:r w:rsidR="00AD6451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Guidance for approval of </w:t>
            </w:r>
            <w:r w:rsidR="00947155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senior pay</w:t>
            </w:r>
            <w:r w:rsidR="001D425B">
              <w:rPr>
                <w:rFonts w:ascii="Aptos" w:eastAsia="Times New Roman" w:hAnsi="Aptos"/>
                <w:sz w:val="24"/>
                <w:szCs w:val="24"/>
                <w:lang w:eastAsia="ar-SA"/>
              </w:rPr>
              <w:t>, DfE guidance on senior pay controls for colleges</w:t>
            </w:r>
            <w:r w:rsidR="00947155" w:rsidRPr="0084147E">
              <w:rPr>
                <w:rStyle w:val="FootnoteReference"/>
                <w:rFonts w:ascii="Aptos" w:eastAsia="Times New Roman" w:hAnsi="Aptos"/>
                <w:sz w:val="24"/>
                <w:szCs w:val="24"/>
                <w:lang w:eastAsia="ar-SA"/>
              </w:rPr>
              <w:footnoteReference w:id="2"/>
            </w:r>
            <w:r w:rsidR="00B8187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and </w:t>
            </w:r>
            <w:r w:rsidR="00947155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any </w:t>
            </w:r>
            <w:r w:rsidR="00B8187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other relevant guidance documents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. </w:t>
            </w:r>
          </w:p>
          <w:p w14:paraId="15543BF4" w14:textId="77777777" w:rsidR="00A03F84" w:rsidRPr="0084147E" w:rsidRDefault="00A03F84" w:rsidP="00905B18">
            <w:pPr>
              <w:pStyle w:val="ListParagraph"/>
              <w:suppressAutoHyphens/>
              <w:spacing w:after="0" w:line="276" w:lineRule="auto"/>
              <w:ind w:left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</w:p>
          <w:p w14:paraId="5B8CB98F" w14:textId="614A5E57" w:rsidR="00A03F84" w:rsidRPr="0084147E" w:rsidRDefault="00A03F84" w:rsidP="00160C1F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8" w:hanging="488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To review the performance of the Chief Executive, other holders of senior posts</w:t>
            </w:r>
            <w:r w:rsidR="00DB0079" w:rsidRPr="0084147E">
              <w:rPr>
                <w:rStyle w:val="FootnoteReference"/>
                <w:rFonts w:ascii="Aptos" w:eastAsia="Times New Roman" w:hAnsi="Aptos"/>
                <w:sz w:val="24"/>
                <w:szCs w:val="24"/>
                <w:lang w:eastAsia="ar-SA"/>
              </w:rPr>
              <w:footnoteReference w:id="3"/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and the </w:t>
            </w:r>
            <w:r w:rsidR="00357119">
              <w:rPr>
                <w:rFonts w:ascii="Aptos" w:eastAsia="Times New Roman" w:hAnsi="Aptos"/>
                <w:sz w:val="24"/>
                <w:szCs w:val="24"/>
                <w:lang w:eastAsia="ar-SA"/>
              </w:rPr>
              <w:t>Group Director of Governance</w:t>
            </w:r>
            <w:r w:rsidR="00357119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(</w:t>
            </w:r>
            <w:proofErr w:type="gramStart"/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taking into account</w:t>
            </w:r>
            <w:proofErr w:type="gramEnd"/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the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lastRenderedPageBreak/>
              <w:t xml:space="preserve">Chair’s appraisal of the Chief Executive and </w:t>
            </w:r>
            <w:r w:rsidR="00357119">
              <w:rPr>
                <w:rFonts w:ascii="Aptos" w:eastAsia="Times New Roman" w:hAnsi="Aptos"/>
                <w:sz w:val="24"/>
                <w:szCs w:val="24"/>
                <w:lang w:eastAsia="ar-SA"/>
              </w:rPr>
              <w:t>Group Director of Governance</w:t>
            </w:r>
            <w:r w:rsidR="00357119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and the Chief Executive’s appraisal of other senior post holders)</w:t>
            </w:r>
            <w:r w:rsidR="00BD74E2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; and to report outcomes to the FE Corporation. </w:t>
            </w:r>
          </w:p>
          <w:p w14:paraId="40B78C73" w14:textId="77777777" w:rsidR="00A03F84" w:rsidRPr="0084147E" w:rsidRDefault="00A03F84" w:rsidP="00905B18">
            <w:pPr>
              <w:pStyle w:val="ListParagraph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</w:p>
          <w:p w14:paraId="5C93E806" w14:textId="7D121AD3" w:rsidR="00A03F84" w:rsidRPr="0084147E" w:rsidRDefault="00A03F84" w:rsidP="00160C1F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8" w:hanging="488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To agree performance objectives for the Chief Executive, senior post holders and the </w:t>
            </w:r>
            <w:r w:rsidR="00357119">
              <w:rPr>
                <w:rFonts w:ascii="Aptos" w:eastAsia="Times New Roman" w:hAnsi="Aptos"/>
                <w:sz w:val="24"/>
                <w:szCs w:val="24"/>
                <w:lang w:eastAsia="ar-SA"/>
              </w:rPr>
              <w:t>Group Director of Governance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, on the advice of the Corporation Chair and Chief Executive, as appropriate, and report these to the </w:t>
            </w:r>
            <w:r w:rsidR="00B8187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People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Committee</w:t>
            </w:r>
          </w:p>
          <w:p w14:paraId="21B9E801" w14:textId="01DE8DF8" w:rsidR="00160C1F" w:rsidRPr="0084147E" w:rsidRDefault="00160C1F" w:rsidP="00DB0079">
            <w:pPr>
              <w:suppressAutoHyphens/>
              <w:spacing w:after="0" w:line="276" w:lineRule="auto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</w:p>
          <w:p w14:paraId="31391CA0" w14:textId="4CFE95FB" w:rsidR="00A03F84" w:rsidRPr="0084147E" w:rsidRDefault="00A03F84" w:rsidP="00A03F84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7" w:hanging="487"/>
              <w:rPr>
                <w:rFonts w:ascii="Aptos" w:hAnsi="Aptos" w:cstheme="minorHAnsi"/>
                <w:sz w:val="24"/>
                <w:szCs w:val="24"/>
                <w:lang w:eastAsia="ar-SA"/>
              </w:rPr>
            </w:pPr>
            <w:r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>To consider terms and conditions of service, including job descriptions and remuner</w:t>
            </w:r>
            <w:r w:rsidR="00160C1F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ation for the Chief Executive, </w:t>
            </w:r>
            <w:r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holders of senior posts and the </w:t>
            </w:r>
            <w:r w:rsidR="00357119">
              <w:rPr>
                <w:rFonts w:ascii="Aptos" w:eastAsia="Times New Roman" w:hAnsi="Aptos"/>
                <w:sz w:val="24"/>
                <w:szCs w:val="24"/>
                <w:lang w:eastAsia="ar-SA"/>
              </w:rPr>
              <w:t>Group Director of Governance</w:t>
            </w:r>
            <w:r w:rsidR="00357119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</w:t>
            </w:r>
            <w:r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and make recommendations to the </w:t>
            </w:r>
            <w:r w:rsidR="00B81874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>People</w:t>
            </w:r>
            <w:r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 Committee. </w:t>
            </w:r>
            <w:r w:rsidR="00947155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As part of its remit, the committee should regularly review remuneration for the Chief Executive, senior post holders and the </w:t>
            </w:r>
            <w:r w:rsidR="00357119">
              <w:rPr>
                <w:rFonts w:ascii="Aptos" w:eastAsia="Times New Roman" w:hAnsi="Aptos"/>
                <w:sz w:val="24"/>
                <w:szCs w:val="24"/>
                <w:lang w:eastAsia="ar-SA"/>
              </w:rPr>
              <w:t>Group Director of Governance</w:t>
            </w:r>
            <w:r w:rsidR="00357119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</w:t>
            </w:r>
            <w:r w:rsidR="00947155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and ensure this can be justified </w:t>
            </w:r>
            <w:proofErr w:type="gramStart"/>
            <w:r w:rsidR="00947155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>in light of</w:t>
            </w:r>
            <w:proofErr w:type="gramEnd"/>
            <w:r w:rsidR="00947155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 agreed performance outcomes. The committee is also responsible for ensuring any required approval is sought </w:t>
            </w:r>
            <w:r w:rsidR="000D3205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>f</w:t>
            </w:r>
            <w:r w:rsidR="00947155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rom the Department for Education in relation to remuneration for new appointments, performance-related pay and pay awards; and for ensuring any application </w:t>
            </w:r>
            <w:r w:rsidR="00BD74E2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>for approval is signed by the Remuneration Committee Chair</w:t>
            </w:r>
            <w:r w:rsidR="00947155" w:rsidRPr="00AE5B0E">
              <w:rPr>
                <w:rStyle w:val="FootnoteReference"/>
                <w:rFonts w:ascii="Aptos" w:hAnsi="Aptos" w:cstheme="minorHAnsi"/>
                <w:sz w:val="24"/>
                <w:szCs w:val="24"/>
                <w:lang w:eastAsia="ar-SA"/>
              </w:rPr>
              <w:footnoteReference w:id="4"/>
            </w:r>
            <w:r w:rsidR="00947155" w:rsidRPr="0084147E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. </w:t>
            </w:r>
          </w:p>
          <w:p w14:paraId="770BF5EC" w14:textId="77777777" w:rsidR="00A03F84" w:rsidRPr="0084147E" w:rsidRDefault="00A03F84" w:rsidP="00905B18">
            <w:pPr>
              <w:pStyle w:val="ListParagraph"/>
              <w:suppressAutoHyphens/>
              <w:spacing w:after="0" w:line="276" w:lineRule="auto"/>
              <w:ind w:left="487"/>
              <w:rPr>
                <w:rFonts w:ascii="Aptos" w:hAnsi="Aptos" w:cstheme="minorHAnsi"/>
                <w:sz w:val="24"/>
                <w:szCs w:val="24"/>
                <w:lang w:eastAsia="ar-SA"/>
              </w:rPr>
            </w:pPr>
          </w:p>
          <w:p w14:paraId="4CDA6D67" w14:textId="26C4BC9C" w:rsidR="00BD74E2" w:rsidRPr="0084147E" w:rsidRDefault="000D3205" w:rsidP="00982760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6" w:hanging="486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To support with any senior post holder recruitment exercise.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br/>
            </w:r>
            <w:r w:rsidR="00A03F8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Panels for the appointment of senior post holders </w:t>
            </w:r>
            <w:r w:rsidR="00A03F8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lastRenderedPageBreak/>
              <w:t>will include at least one member of the Remuneration Committee.</w:t>
            </w:r>
            <w:r w:rsidR="00982760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br/>
            </w:r>
          </w:p>
          <w:p w14:paraId="3DA77376" w14:textId="432ABA38" w:rsidR="00A03F84" w:rsidRPr="0084147E" w:rsidRDefault="00A03F84" w:rsidP="00A03F84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7" w:hanging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To consider equal pay matters and ensure the equality</w:t>
            </w:r>
            <w:r w:rsidR="00097951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,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diversity</w:t>
            </w:r>
            <w:r w:rsidR="00652741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, inclusion and belonging principles are </w:t>
            </w:r>
            <w:proofErr w:type="gramStart"/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taken into account</w:t>
            </w:r>
            <w:proofErr w:type="gramEnd"/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when considering staff pay. </w:t>
            </w:r>
          </w:p>
          <w:p w14:paraId="5C053841" w14:textId="77777777" w:rsidR="00A03F84" w:rsidRPr="0084147E" w:rsidRDefault="00A03F84" w:rsidP="00905B18">
            <w:pPr>
              <w:suppressAutoHyphens/>
              <w:spacing w:after="0" w:line="276" w:lineRule="auto"/>
              <w:ind w:left="487" w:hanging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</w:p>
          <w:p w14:paraId="4F4BECE7" w14:textId="7D0CE99B" w:rsidR="00A03F84" w:rsidRPr="0084147E" w:rsidRDefault="00A03F84" w:rsidP="00A03F84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7" w:hanging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To consider any severance payments to the Chief Executive, holders of senior posts and the </w:t>
            </w:r>
            <w:r w:rsidR="00357119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Group Director of </w:t>
            </w:r>
            <w:proofErr w:type="gramStart"/>
            <w:r w:rsidR="00357119">
              <w:rPr>
                <w:rFonts w:ascii="Aptos" w:eastAsia="Times New Roman" w:hAnsi="Aptos"/>
                <w:sz w:val="24"/>
                <w:szCs w:val="24"/>
                <w:lang w:eastAsia="ar-SA"/>
              </w:rPr>
              <w:t>Governance</w:t>
            </w:r>
            <w:r w:rsidR="00357119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,</w:t>
            </w:r>
            <w:proofErr w:type="gramEnd"/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in accordance with the Remuneration Code</w:t>
            </w:r>
            <w:r w:rsidR="00B8187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and</w:t>
            </w:r>
            <w:r w:rsidR="00BD74E2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HM Treasury senior pay guidance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, including seeking any legal advice from the external auditors, and to make recommendations to the </w:t>
            </w:r>
            <w:r w:rsidR="00B81874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People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Committee.</w:t>
            </w:r>
          </w:p>
          <w:p w14:paraId="2ECC4B36" w14:textId="77777777" w:rsidR="00A03F84" w:rsidRPr="0084147E" w:rsidRDefault="00A03F84" w:rsidP="00905B18">
            <w:pPr>
              <w:suppressAutoHyphens/>
              <w:spacing w:after="0" w:line="276" w:lineRule="auto"/>
              <w:ind w:left="487" w:hanging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</w:p>
          <w:p w14:paraId="6E6E22AB" w14:textId="395F606D" w:rsidR="00A03F84" w:rsidRPr="0084147E" w:rsidRDefault="00A03F84" w:rsidP="00A03F84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7" w:hanging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To demonstrate to the public that the pay of the Chief Executive, holders of senior posts and the </w:t>
            </w:r>
            <w:r w:rsidR="00357119">
              <w:rPr>
                <w:rFonts w:ascii="Aptos" w:eastAsia="Times New Roman" w:hAnsi="Aptos"/>
                <w:sz w:val="24"/>
                <w:szCs w:val="24"/>
                <w:lang w:eastAsia="ar-SA"/>
              </w:rPr>
              <w:t>Group Director of Governance</w:t>
            </w:r>
            <w:r w:rsidR="00357119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is set by a committee that has no personal interest in the outcome of its </w:t>
            </w:r>
            <w:proofErr w:type="gramStart"/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decision</w:t>
            </w:r>
            <w:proofErr w:type="gramEnd"/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and which gives due regard to the interests of the public and of the financial health of the </w:t>
            </w:r>
            <w:proofErr w:type="gramStart"/>
            <w:r w:rsidR="00652741">
              <w:rPr>
                <w:rFonts w:ascii="Aptos" w:eastAsia="Times New Roman" w:hAnsi="Aptos"/>
                <w:sz w:val="24"/>
                <w:szCs w:val="24"/>
                <w:lang w:eastAsia="ar-SA"/>
              </w:rPr>
              <w:t>Etc.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.</w:t>
            </w:r>
            <w:proofErr w:type="gramEnd"/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 </w:t>
            </w:r>
          </w:p>
          <w:p w14:paraId="1234E1FA" w14:textId="77777777" w:rsidR="00A03F84" w:rsidRPr="0084147E" w:rsidRDefault="00A03F84" w:rsidP="00905B18">
            <w:pPr>
              <w:suppressAutoHyphens/>
              <w:spacing w:after="0" w:line="276" w:lineRule="auto"/>
              <w:ind w:left="487" w:hanging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</w:p>
          <w:p w14:paraId="11CDDE02" w14:textId="62FEAF3D" w:rsidR="00A03F84" w:rsidRPr="00EA7854" w:rsidRDefault="00A03F84" w:rsidP="00A03F84">
            <w:pPr>
              <w:pStyle w:val="ListParagraph"/>
              <w:numPr>
                <w:ilvl w:val="0"/>
                <w:numId w:val="9"/>
              </w:numPr>
              <w:suppressAutoHyphens/>
              <w:spacing w:after="0" w:line="276" w:lineRule="auto"/>
              <w:ind w:left="487" w:hanging="487"/>
              <w:rPr>
                <w:rFonts w:ascii="Aptos" w:hAnsi="Aptos" w:cstheme="minorHAnsi"/>
                <w:sz w:val="24"/>
                <w:szCs w:val="24"/>
                <w:lang w:eastAsia="ar-SA"/>
              </w:rPr>
            </w:pP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To prepare an annual report on remuneration for presentation to the Corporation and an annual Remuneration statement for publication</w:t>
            </w:r>
            <w:r w:rsidR="00BD74E2"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>; and to ensure that the annual accounts disclose and justify the remuneration package for senior staff and disclose a comparison between the principal’s remuneration and that of other staff</w:t>
            </w:r>
            <w:r w:rsidRPr="0084147E">
              <w:rPr>
                <w:rFonts w:ascii="Aptos" w:eastAsia="Times New Roman" w:hAnsi="Aptos"/>
                <w:sz w:val="24"/>
                <w:szCs w:val="24"/>
                <w:lang w:eastAsia="ar-SA"/>
              </w:rPr>
              <w:t xml:space="preserve">.  </w:t>
            </w:r>
          </w:p>
          <w:p w14:paraId="5ECE21FC" w14:textId="77777777" w:rsidR="007D6712" w:rsidRPr="00EA7854" w:rsidRDefault="007D6712" w:rsidP="00EA7854">
            <w:pPr>
              <w:pStyle w:val="ListParagraph"/>
              <w:rPr>
                <w:rFonts w:ascii="Aptos" w:hAnsi="Aptos" w:cstheme="minorHAnsi"/>
                <w:sz w:val="24"/>
                <w:szCs w:val="24"/>
                <w:lang w:eastAsia="ar-SA"/>
              </w:rPr>
            </w:pPr>
          </w:p>
          <w:p w14:paraId="21CAB052" w14:textId="0AE2F769" w:rsidR="00A03F84" w:rsidRPr="00EA7854" w:rsidRDefault="007D6712" w:rsidP="00EA7854">
            <w:pPr>
              <w:pStyle w:val="ListParagraph"/>
              <w:suppressAutoHyphens/>
              <w:spacing w:after="0" w:line="276" w:lineRule="auto"/>
              <w:ind w:left="487"/>
              <w:rPr>
                <w:rFonts w:ascii="Aptos" w:eastAsia="Times New Roman" w:hAnsi="Aptos"/>
                <w:sz w:val="24"/>
                <w:szCs w:val="24"/>
                <w:lang w:eastAsia="ar-SA"/>
              </w:rPr>
            </w:pPr>
            <w:r>
              <w:rPr>
                <w:rFonts w:ascii="Aptos" w:hAnsi="Aptos" w:cstheme="minorHAnsi"/>
                <w:sz w:val="24"/>
                <w:szCs w:val="24"/>
                <w:lang w:eastAsia="ar-SA"/>
              </w:rPr>
              <w:t>To recommend a process for the annual review of the Corporation Chair’s appraisal</w:t>
            </w:r>
            <w:r w:rsidR="00A16284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 to the FE Corporation</w:t>
            </w:r>
            <w:r>
              <w:rPr>
                <w:rFonts w:ascii="Aptos" w:hAnsi="Aptos" w:cstheme="minorHAnsi"/>
                <w:sz w:val="24"/>
                <w:szCs w:val="24"/>
                <w:lang w:eastAsia="ar-SA"/>
              </w:rPr>
              <w:t>;</w:t>
            </w:r>
            <w:r w:rsidR="00A16284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 to undertake an initial review of the outcomes</w:t>
            </w:r>
            <w:r w:rsidR="00A16284">
              <w:rPr>
                <w:rStyle w:val="FootnoteReference"/>
                <w:rFonts w:ascii="Aptos" w:hAnsi="Aptos" w:cstheme="minorHAnsi"/>
                <w:sz w:val="24"/>
                <w:szCs w:val="24"/>
                <w:lang w:eastAsia="ar-SA"/>
              </w:rPr>
              <w:footnoteReference w:id="5"/>
            </w:r>
            <w:r w:rsidR="00A16284">
              <w:rPr>
                <w:rFonts w:ascii="Aptos" w:hAnsi="Aptos" w:cstheme="minorHAnsi"/>
                <w:sz w:val="24"/>
                <w:szCs w:val="24"/>
                <w:lang w:eastAsia="ar-SA"/>
              </w:rPr>
              <w:t xml:space="preserve"> and report these to the FE Corporation</w:t>
            </w:r>
          </w:p>
        </w:tc>
      </w:tr>
    </w:tbl>
    <w:p w14:paraId="269346F1" w14:textId="77777777" w:rsidR="00A03F84" w:rsidRPr="004C7931" w:rsidRDefault="00A03F84" w:rsidP="00A03F84">
      <w:pPr>
        <w:spacing w:after="0"/>
        <w:rPr>
          <w:rFonts w:ascii="Aptos" w:hAnsi="Aptos"/>
          <w:sz w:val="24"/>
          <w:szCs w:val="24"/>
        </w:rPr>
      </w:pPr>
    </w:p>
    <w:p w14:paraId="5E531F4C" w14:textId="77777777" w:rsidR="005B358E" w:rsidRPr="004C7931" w:rsidRDefault="005B358E" w:rsidP="007432A2">
      <w:pPr>
        <w:pStyle w:val="paragraph"/>
        <w:jc w:val="both"/>
        <w:textAlignment w:val="baseline"/>
        <w:rPr>
          <w:rFonts w:ascii="Aptos" w:hAnsi="Aptos" w:cstheme="minorHAnsi"/>
        </w:rPr>
      </w:pPr>
    </w:p>
    <w:sectPr w:rsidR="005B358E" w:rsidRPr="004C7931" w:rsidSect="003D502F">
      <w:footerReference w:type="default" r:id="rId11"/>
      <w:pgSz w:w="11906" w:h="16838"/>
      <w:pgMar w:top="1276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9897" w14:textId="77777777" w:rsidR="002B7F01" w:rsidRDefault="002B7F01" w:rsidP="00C9093A">
      <w:pPr>
        <w:spacing w:after="0"/>
      </w:pPr>
      <w:r>
        <w:separator/>
      </w:r>
    </w:p>
  </w:endnote>
  <w:endnote w:type="continuationSeparator" w:id="0">
    <w:p w14:paraId="2AD5D079" w14:textId="77777777" w:rsidR="002B7F01" w:rsidRDefault="002B7F01" w:rsidP="00C9093A">
      <w:pPr>
        <w:spacing w:after="0"/>
      </w:pPr>
      <w:r>
        <w:continuationSeparator/>
      </w:r>
    </w:p>
  </w:endnote>
  <w:endnote w:type="continuationNotice" w:id="1">
    <w:p w14:paraId="36143CD9" w14:textId="77777777" w:rsidR="002B7F01" w:rsidRDefault="002B7F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SMe-Bold">
    <w:altName w:val="Times New Roman"/>
    <w:charset w:val="4D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Calibri"/>
        <w:sz w:val="24"/>
        <w:szCs w:val="20"/>
        <w:lang w:eastAsia="ar-SA"/>
      </w:rPr>
      <w:id w:val="117337767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6"/>
        <w:szCs w:val="16"/>
      </w:rPr>
    </w:sdtEndPr>
    <w:sdtContent>
      <w:p w14:paraId="70156D1D" w14:textId="69F29C5D" w:rsidR="004029E3" w:rsidRPr="00C9093A" w:rsidRDefault="004029E3" w:rsidP="00C9093A">
        <w:pPr>
          <w:suppressLineNumbers/>
          <w:tabs>
            <w:tab w:val="center" w:pos="4819"/>
            <w:tab w:val="right" w:pos="9638"/>
          </w:tabs>
          <w:suppressAutoHyphens/>
          <w:spacing w:after="0"/>
          <w:jc w:val="right"/>
          <w:rPr>
            <w:rFonts w:asciiTheme="minorHAnsi" w:eastAsia="Times New Roman" w:hAnsiTheme="minorHAnsi" w:cs="Calibri"/>
            <w:sz w:val="16"/>
            <w:szCs w:val="16"/>
            <w:lang w:eastAsia="ar-SA"/>
          </w:rPr>
        </w:pPr>
        <w:r w:rsidRPr="00C9093A">
          <w:rPr>
            <w:rFonts w:asciiTheme="minorHAnsi" w:eastAsia="Times New Roman" w:hAnsiTheme="minorHAnsi" w:cs="Calibri"/>
            <w:sz w:val="16"/>
            <w:szCs w:val="16"/>
            <w:lang w:eastAsia="ar-SA"/>
          </w:rPr>
          <w:fldChar w:fldCharType="begin"/>
        </w:r>
        <w:r w:rsidRPr="00C9093A">
          <w:rPr>
            <w:rFonts w:asciiTheme="minorHAnsi" w:eastAsia="Times New Roman" w:hAnsiTheme="minorHAnsi" w:cs="Calibri"/>
            <w:sz w:val="16"/>
            <w:szCs w:val="16"/>
            <w:lang w:eastAsia="ar-SA"/>
          </w:rPr>
          <w:instrText xml:space="preserve"> PAGE   \* MERGEFORMAT </w:instrText>
        </w:r>
        <w:r w:rsidRPr="00C9093A">
          <w:rPr>
            <w:rFonts w:asciiTheme="minorHAnsi" w:eastAsia="Times New Roman" w:hAnsiTheme="minorHAnsi" w:cs="Calibri"/>
            <w:sz w:val="16"/>
            <w:szCs w:val="16"/>
            <w:lang w:eastAsia="ar-SA"/>
          </w:rPr>
          <w:fldChar w:fldCharType="separate"/>
        </w:r>
        <w:r>
          <w:rPr>
            <w:rFonts w:asciiTheme="minorHAnsi" w:eastAsia="Times New Roman" w:hAnsiTheme="minorHAnsi" w:cs="Calibri"/>
            <w:noProof/>
            <w:sz w:val="16"/>
            <w:szCs w:val="16"/>
            <w:lang w:eastAsia="ar-SA"/>
          </w:rPr>
          <w:t>4</w:t>
        </w:r>
        <w:r w:rsidRPr="00C9093A">
          <w:rPr>
            <w:rFonts w:asciiTheme="minorHAnsi" w:eastAsia="Times New Roman" w:hAnsiTheme="minorHAnsi" w:cs="Calibri"/>
            <w:noProof/>
            <w:sz w:val="16"/>
            <w:szCs w:val="16"/>
            <w:lang w:eastAsia="ar-SA"/>
          </w:rPr>
          <w:fldChar w:fldCharType="end"/>
        </w:r>
      </w:p>
    </w:sdtContent>
  </w:sdt>
  <w:sdt>
    <w:sdtPr>
      <w:rPr>
        <w:rFonts w:asciiTheme="minorHAnsi" w:eastAsia="FSMe-Bold" w:hAnsiTheme="minorHAnsi" w:cs="FSMe-Bold"/>
        <w:bCs/>
        <w:color w:val="808080"/>
        <w:sz w:val="18"/>
        <w:szCs w:val="18"/>
        <w:lang w:eastAsia="hi-IN" w:bidi="hi-IN"/>
      </w:rPr>
      <w:id w:val="-1545442428"/>
      <w:docPartObj>
        <w:docPartGallery w:val="Page Numbers (Bottom of Page)"/>
        <w:docPartUnique/>
      </w:docPartObj>
    </w:sdtPr>
    <w:sdtEndPr/>
    <w:sdtContent>
      <w:p w14:paraId="0107F304" w14:textId="77777777" w:rsidR="004029E3" w:rsidRDefault="004029E3" w:rsidP="00FF77C2">
        <w:pPr>
          <w:widowControl w:val="0"/>
          <w:suppressAutoHyphens/>
          <w:autoSpaceDE w:val="0"/>
          <w:spacing w:after="0" w:line="288" w:lineRule="auto"/>
          <w:jc w:val="center"/>
          <w:textAlignment w:val="center"/>
          <w:rPr>
            <w:rFonts w:asciiTheme="minorHAnsi" w:eastAsia="FSMe-Bold" w:hAnsiTheme="minorHAnsi" w:cs="FSMe-Bold"/>
            <w:bCs/>
            <w:color w:val="808080"/>
            <w:sz w:val="18"/>
            <w:szCs w:val="18"/>
            <w:lang w:eastAsia="hi-IN" w:bidi="hi-IN"/>
          </w:rPr>
        </w:pPr>
      </w:p>
      <w:p w14:paraId="29028F23" w14:textId="77777777" w:rsidR="004029E3" w:rsidRDefault="002B7F01" w:rsidP="003D502F">
        <w:pPr>
          <w:pStyle w:val="Footer"/>
          <w:jc w:val="center"/>
          <w:rPr>
            <w:rFonts w:asciiTheme="minorHAnsi" w:eastAsia="FSMe-Bold" w:hAnsiTheme="minorHAnsi" w:cs="FSMe-Bold"/>
            <w:bCs/>
            <w:color w:val="808080"/>
            <w:sz w:val="18"/>
            <w:szCs w:val="18"/>
            <w:lang w:eastAsia="hi-IN" w:bidi="hi-IN"/>
          </w:rPr>
        </w:pPr>
      </w:p>
    </w:sdtContent>
  </w:sdt>
  <w:p w14:paraId="6239EB69" w14:textId="77777777" w:rsidR="004029E3" w:rsidRPr="008034D3" w:rsidRDefault="004029E3" w:rsidP="003D502F">
    <w:pPr>
      <w:pStyle w:val="Footer"/>
      <w:jc w:val="center"/>
      <w:rPr>
        <w:rFonts w:asciiTheme="minorHAnsi" w:hAnsiTheme="minorHAnsi"/>
        <w:sz w:val="20"/>
        <w:szCs w:val="20"/>
      </w:rPr>
    </w:pPr>
    <w:r w:rsidRPr="003D502F">
      <w:rPr>
        <w:rFonts w:asciiTheme="minorHAnsi" w:eastAsia="FSMe-Bold" w:hAnsiTheme="minorHAnsi" w:cs="FSMe-Bold"/>
        <w:bCs/>
        <w:color w:val="808080"/>
        <w:sz w:val="18"/>
        <w:szCs w:val="18"/>
        <w:lang w:val="en-US" w:eastAsia="hi-IN" w:bidi="hi-IN"/>
      </w:rPr>
      <w:t xml:space="preserve"> </w:t>
    </w:r>
    <w:r>
      <w:rPr>
        <w:rFonts w:asciiTheme="minorHAnsi" w:eastAsia="FSMe-Bold" w:hAnsiTheme="minorHAnsi" w:cs="FSMe-Bold"/>
        <w:bCs/>
        <w:color w:val="808080"/>
        <w:sz w:val="18"/>
        <w:szCs w:val="18"/>
        <w:lang w:val="en-US" w:eastAsia="hi-IN" w:bidi="hi-IN"/>
      </w:rPr>
      <w:t xml:space="preserve">Education Training Collective </w:t>
    </w:r>
    <w:r w:rsidRPr="00C9093A">
      <w:rPr>
        <w:rFonts w:asciiTheme="minorHAnsi" w:eastAsia="FSMe-Bold" w:hAnsiTheme="minorHAnsi" w:cs="FSMe-Bold"/>
        <w:bCs/>
        <w:color w:val="808080"/>
        <w:sz w:val="18"/>
        <w:szCs w:val="18"/>
        <w:lang w:val="en-US" w:eastAsia="hi-IN" w:bidi="hi-IN"/>
      </w:rPr>
      <w:t>• Harvard Avenue • Thornaby • Stockton-on-Tees • TS17 6FB</w:t>
    </w:r>
  </w:p>
  <w:p w14:paraId="6308FB3D" w14:textId="77777777" w:rsidR="004029E3" w:rsidRPr="00FF77C2" w:rsidRDefault="004029E3" w:rsidP="00FF77C2">
    <w:pPr>
      <w:widowControl w:val="0"/>
      <w:suppressAutoHyphens/>
      <w:autoSpaceDE w:val="0"/>
      <w:spacing w:after="0" w:line="288" w:lineRule="auto"/>
      <w:jc w:val="center"/>
      <w:textAlignment w:val="center"/>
      <w:rPr>
        <w:rFonts w:asciiTheme="minorHAnsi" w:eastAsia="FSMe-Bold" w:hAnsiTheme="minorHAnsi" w:cs="FSMe-Bold"/>
        <w:bCs/>
        <w:color w:val="808080"/>
        <w:sz w:val="18"/>
        <w:szCs w:val="18"/>
        <w:lang w:eastAsia="hi-IN" w:bidi="hi-IN"/>
      </w:rPr>
    </w:pPr>
  </w:p>
  <w:p w14:paraId="6A9B3E75" w14:textId="77777777" w:rsidR="004029E3" w:rsidRDefault="004029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1EC2" w14:textId="77777777" w:rsidR="002B7F01" w:rsidRDefault="002B7F01" w:rsidP="00C9093A">
      <w:pPr>
        <w:spacing w:after="0"/>
      </w:pPr>
      <w:r>
        <w:separator/>
      </w:r>
    </w:p>
  </w:footnote>
  <w:footnote w:type="continuationSeparator" w:id="0">
    <w:p w14:paraId="05226350" w14:textId="77777777" w:rsidR="002B7F01" w:rsidRDefault="002B7F01" w:rsidP="00C9093A">
      <w:pPr>
        <w:spacing w:after="0"/>
      </w:pPr>
      <w:r>
        <w:continuationSeparator/>
      </w:r>
    </w:p>
  </w:footnote>
  <w:footnote w:type="continuationNotice" w:id="1">
    <w:p w14:paraId="65B7A626" w14:textId="77777777" w:rsidR="002B7F01" w:rsidRDefault="002B7F01">
      <w:pPr>
        <w:spacing w:after="0"/>
      </w:pPr>
    </w:p>
  </w:footnote>
  <w:footnote w:id="2">
    <w:p w14:paraId="6E4FC003" w14:textId="3B373E54" w:rsidR="00947155" w:rsidRPr="00AE5B0E" w:rsidRDefault="00947155">
      <w:pPr>
        <w:pStyle w:val="FootnoteText"/>
        <w:rPr>
          <w:rFonts w:ascii="Aptos" w:hAnsi="Aptos"/>
        </w:rPr>
      </w:pPr>
      <w:r w:rsidRPr="00AE5B0E">
        <w:rPr>
          <w:rStyle w:val="FootnoteReference"/>
          <w:rFonts w:ascii="Aptos" w:hAnsi="Aptos"/>
        </w:rPr>
        <w:footnoteRef/>
      </w:r>
      <w:r w:rsidRPr="00AE5B0E">
        <w:rPr>
          <w:rFonts w:ascii="Aptos" w:hAnsi="Aptos"/>
        </w:rPr>
        <w:t xml:space="preserve"> </w:t>
      </w:r>
      <w:r w:rsidRPr="00AE5B0E">
        <w:rPr>
          <w:rFonts w:ascii="Aptos" w:hAnsi="Aptos" w:cstheme="minorHAnsi"/>
        </w:rPr>
        <w:t xml:space="preserve">See: </w:t>
      </w:r>
      <w:hyperlink r:id="rId1" w:history="1">
        <w:r w:rsidR="00A27C66">
          <w:rPr>
            <w:rStyle w:val="Hyperlink"/>
            <w:rFonts w:ascii="Aptos" w:hAnsi="Aptos" w:cstheme="minorHAnsi"/>
          </w:rPr>
          <w:t>Senior_Pay_Guidance_2025.pdf (publishing.service.gov.uk)</w:t>
        </w:r>
      </w:hyperlink>
    </w:p>
  </w:footnote>
  <w:footnote w:id="3">
    <w:p w14:paraId="25CCB661" w14:textId="2FF9E320" w:rsidR="004029E3" w:rsidRPr="00973B44" w:rsidRDefault="004029E3">
      <w:pPr>
        <w:pStyle w:val="FootnoteText"/>
        <w:rPr>
          <w:rFonts w:asciiTheme="minorHAnsi" w:hAnsiTheme="minorHAnsi" w:cstheme="minorHAnsi"/>
        </w:rPr>
      </w:pPr>
      <w:r w:rsidRPr="00AE5B0E">
        <w:rPr>
          <w:rStyle w:val="FootnoteReference"/>
          <w:rFonts w:ascii="Aptos" w:hAnsi="Aptos" w:cstheme="minorHAnsi"/>
        </w:rPr>
        <w:footnoteRef/>
      </w:r>
      <w:r w:rsidRPr="00AE5B0E">
        <w:rPr>
          <w:rFonts w:ascii="Aptos" w:hAnsi="Aptos" w:cstheme="minorHAnsi"/>
        </w:rPr>
        <w:t xml:space="preserve"> The terms ‘holders of senior posts’ and ‘senior post holders’ refer to employees appointed to posts designated as ‘Senior Post Holders’, currently the Chief Executive, </w:t>
      </w:r>
      <w:r w:rsidR="00357119" w:rsidRPr="00AE5B0E">
        <w:rPr>
          <w:rFonts w:ascii="Aptos" w:hAnsi="Aptos" w:cstheme="minorHAnsi"/>
        </w:rPr>
        <w:t xml:space="preserve">Deputy Chief Executive Officer, </w:t>
      </w:r>
      <w:r w:rsidR="00B81874" w:rsidRPr="00AE5B0E">
        <w:rPr>
          <w:rFonts w:ascii="Aptos" w:hAnsi="Aptos" w:cstheme="minorHAnsi"/>
        </w:rPr>
        <w:t xml:space="preserve">Chief Operating Officer </w:t>
      </w:r>
      <w:r w:rsidRPr="00AE5B0E">
        <w:rPr>
          <w:rFonts w:ascii="Aptos" w:hAnsi="Aptos" w:cstheme="minorHAnsi"/>
        </w:rPr>
        <w:t xml:space="preserve">and </w:t>
      </w:r>
      <w:r w:rsidR="00B81874" w:rsidRPr="00AE5B0E">
        <w:rPr>
          <w:rFonts w:ascii="Aptos" w:hAnsi="Aptos" w:cstheme="minorHAnsi"/>
        </w:rPr>
        <w:t>Chief Financial Officer</w:t>
      </w:r>
      <w:r w:rsidRPr="00AE5B0E">
        <w:rPr>
          <w:rFonts w:ascii="Aptos" w:hAnsi="Aptos" w:cstheme="minorHAnsi"/>
        </w:rPr>
        <w:t xml:space="preserve">. The committee may consider the performance of other senior </w:t>
      </w:r>
      <w:proofErr w:type="gramStart"/>
      <w:r w:rsidRPr="00AE5B0E">
        <w:rPr>
          <w:rFonts w:ascii="Aptos" w:hAnsi="Aptos" w:cstheme="minorHAnsi"/>
        </w:rPr>
        <w:t>managers</w:t>
      </w:r>
      <w:proofErr w:type="gramEnd"/>
      <w:r w:rsidRPr="00AE5B0E">
        <w:rPr>
          <w:rFonts w:ascii="Aptos" w:hAnsi="Aptos" w:cstheme="minorHAnsi"/>
        </w:rPr>
        <w:t xml:space="preserve"> but this is not a formal element of the committee’s remit and decisions about the terms and conditions of senior managers other than designated ‘Senior Post Holders’ are the responsibility of the Chief Executive.</w:t>
      </w:r>
      <w:r w:rsidRPr="00973B44">
        <w:rPr>
          <w:rFonts w:asciiTheme="minorHAnsi" w:hAnsiTheme="minorHAnsi" w:cstheme="minorHAnsi"/>
        </w:rPr>
        <w:t xml:space="preserve"> </w:t>
      </w:r>
    </w:p>
  </w:footnote>
  <w:footnote w:id="4">
    <w:p w14:paraId="79147C12" w14:textId="124F5A0F" w:rsidR="00947155" w:rsidRPr="00AE5B0E" w:rsidRDefault="00947155" w:rsidP="00BD74E2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theme="minorHAnsi"/>
          <w:color w:val="0B0C0C"/>
          <w:sz w:val="20"/>
          <w:szCs w:val="20"/>
        </w:rPr>
      </w:pPr>
      <w:r w:rsidRPr="00AE5B0E">
        <w:rPr>
          <w:rStyle w:val="FootnoteReference"/>
          <w:rFonts w:ascii="Aptos" w:hAnsi="Aptos"/>
        </w:rPr>
        <w:footnoteRef/>
      </w:r>
      <w:r w:rsidRPr="00AE5B0E">
        <w:rPr>
          <w:rFonts w:ascii="Aptos" w:hAnsi="Aptos"/>
        </w:rPr>
        <w:t xml:space="preserve"> </w:t>
      </w:r>
      <w:r w:rsidRPr="00AE5B0E">
        <w:rPr>
          <w:rFonts w:ascii="Aptos" w:hAnsi="Aptos" w:cstheme="minorHAnsi"/>
          <w:sz w:val="20"/>
          <w:szCs w:val="20"/>
        </w:rPr>
        <w:t xml:space="preserve">Currently, </w:t>
      </w:r>
      <w:r w:rsidRPr="00AE5B0E">
        <w:rPr>
          <w:rFonts w:ascii="Aptos" w:hAnsi="Aptos" w:cstheme="minorHAnsi"/>
          <w:color w:val="0B0C0C"/>
          <w:sz w:val="20"/>
          <w:szCs w:val="20"/>
        </w:rPr>
        <w:t>approval must be sought from the DfE for:</w:t>
      </w:r>
    </w:p>
    <w:p w14:paraId="21E8B0A8" w14:textId="7272034D" w:rsidR="00947155" w:rsidRPr="00AE5B0E" w:rsidRDefault="00947155" w:rsidP="00BD74E2">
      <w:pPr>
        <w:numPr>
          <w:ilvl w:val="0"/>
          <w:numId w:val="18"/>
        </w:numPr>
        <w:shd w:val="clear" w:color="auto" w:fill="FFFFFF"/>
        <w:spacing w:after="0"/>
        <w:ind w:left="300"/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</w:pP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remuneration for new appointments (including new roles and new appointments to existing roles) at or above £</w:t>
      </w:r>
      <w:r w:rsidR="000B3F9C"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1</w:t>
      </w:r>
      <w:r w:rsidR="000B3F9C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74</w:t>
      </w: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,000</w:t>
      </w:r>
      <w:r w:rsidR="006A7DE2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 xml:space="preserve"> (pro rata for part-time staff)</w:t>
      </w: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 xml:space="preserve"> and for performance-related pay above £</w:t>
      </w:r>
      <w:r w:rsidR="006A7DE2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25</w:t>
      </w: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,</w:t>
      </w:r>
      <w:r w:rsidR="006A7DE2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0</w:t>
      </w:r>
      <w:r w:rsidR="006A7DE2"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00</w:t>
      </w:r>
      <w:r w:rsidR="00675E05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 xml:space="preserve">. Approval must be </w:t>
      </w:r>
      <w:r w:rsidR="003E5FE4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 xml:space="preserve">gained before the post is advertised. </w:t>
      </w:r>
    </w:p>
    <w:p w14:paraId="76CDE915" w14:textId="3E81ECA0" w:rsidR="00947155" w:rsidRPr="00AE5B0E" w:rsidRDefault="00947155" w:rsidP="00BD74E2">
      <w:pPr>
        <w:numPr>
          <w:ilvl w:val="0"/>
          <w:numId w:val="18"/>
        </w:numPr>
        <w:shd w:val="clear" w:color="auto" w:fill="FFFFFF"/>
        <w:spacing w:after="0"/>
        <w:ind w:left="300"/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</w:pP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 xml:space="preserve">pay awards over </w:t>
      </w:r>
      <w:r w:rsidR="003E5FE4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6</w:t>
      </w: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% for existing staff where their remuneration is already at or above £</w:t>
      </w:r>
      <w:r w:rsidR="003E5FE4"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1</w:t>
      </w:r>
      <w:r w:rsidR="003E5FE4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74</w:t>
      </w: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,000 (subject to paragraphs 2.6 to 2.11 of the HMT </w:t>
      </w:r>
      <w:hyperlink r:id="rId2" w:history="1">
        <w:r w:rsidRPr="00AE5B0E">
          <w:rPr>
            <w:rFonts w:ascii="Aptos" w:eastAsia="Times New Roman" w:hAnsi="Aptos" w:cstheme="minorHAnsi"/>
            <w:color w:val="1D70B8"/>
            <w:sz w:val="20"/>
            <w:szCs w:val="20"/>
            <w:u w:val="single"/>
            <w:lang w:eastAsia="en-GB"/>
          </w:rPr>
          <w:t>Guidance for approval of senior pay</w:t>
        </w:r>
      </w:hyperlink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)</w:t>
      </w:r>
    </w:p>
    <w:p w14:paraId="5473B27B" w14:textId="3494ABE4" w:rsidR="00947155" w:rsidRPr="00AE5B0E" w:rsidRDefault="00947155" w:rsidP="00BD74E2">
      <w:pPr>
        <w:numPr>
          <w:ilvl w:val="0"/>
          <w:numId w:val="18"/>
        </w:numPr>
        <w:shd w:val="clear" w:color="auto" w:fill="FFFFFF"/>
        <w:spacing w:after="0"/>
        <w:ind w:left="300"/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</w:pP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 xml:space="preserve">pay awards over </w:t>
      </w:r>
      <w:r w:rsidR="00FC164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6</w:t>
      </w: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% for existing staff which increase remuneration to or above £</w:t>
      </w:r>
      <w:r w:rsidR="00FC164E"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1</w:t>
      </w:r>
      <w:r w:rsidR="00FC164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74</w:t>
      </w:r>
      <w:r w:rsidRPr="00AE5B0E">
        <w:rPr>
          <w:rFonts w:ascii="Aptos" w:eastAsia="Times New Roman" w:hAnsi="Aptos" w:cstheme="minorHAnsi"/>
          <w:color w:val="0B0C0C"/>
          <w:sz w:val="20"/>
          <w:szCs w:val="20"/>
          <w:lang w:eastAsia="en-GB"/>
        </w:rPr>
        <w:t>,000 (subject to paragraphs 2.6 to 2.11 of the above HMT guidance)</w:t>
      </w:r>
    </w:p>
    <w:p w14:paraId="7E876383" w14:textId="789A06B1" w:rsidR="00947155" w:rsidRDefault="00947155">
      <w:pPr>
        <w:pStyle w:val="FootnoteText"/>
      </w:pPr>
    </w:p>
  </w:footnote>
  <w:footnote w:id="5">
    <w:p w14:paraId="38EF9CCE" w14:textId="30422CA5" w:rsidR="00A16284" w:rsidRDefault="00A16284">
      <w:pPr>
        <w:pStyle w:val="FootnoteText"/>
      </w:pPr>
      <w:r>
        <w:rPr>
          <w:rStyle w:val="FootnoteReference"/>
        </w:rPr>
        <w:footnoteRef/>
      </w:r>
      <w:r>
        <w:t xml:space="preserve"> Remuneration Committee Chair to provide feedback to the Corporation Chair on outcomes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7C7B19"/>
    <w:multiLevelType w:val="hybridMultilevel"/>
    <w:tmpl w:val="A3AA661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A542E"/>
    <w:multiLevelType w:val="hybridMultilevel"/>
    <w:tmpl w:val="47EEE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674DE"/>
    <w:multiLevelType w:val="hybridMultilevel"/>
    <w:tmpl w:val="5F70E712"/>
    <w:lvl w:ilvl="0" w:tplc="DA72C5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2FAC"/>
    <w:multiLevelType w:val="hybridMultilevel"/>
    <w:tmpl w:val="C5A84828"/>
    <w:lvl w:ilvl="0" w:tplc="74622FA6">
      <w:start w:val="1"/>
      <w:numFmt w:val="bullet"/>
      <w:pStyle w:val="ListBulleted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E35"/>
    <w:multiLevelType w:val="hybridMultilevel"/>
    <w:tmpl w:val="5F70E712"/>
    <w:lvl w:ilvl="0" w:tplc="DA72C5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83FEA"/>
    <w:multiLevelType w:val="hybridMultilevel"/>
    <w:tmpl w:val="53A43F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D71B9"/>
    <w:multiLevelType w:val="hybridMultilevel"/>
    <w:tmpl w:val="130E6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64EC8"/>
    <w:multiLevelType w:val="hybridMultilevel"/>
    <w:tmpl w:val="8E340444"/>
    <w:lvl w:ilvl="0" w:tplc="CB0051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54A"/>
    <w:multiLevelType w:val="hybridMultilevel"/>
    <w:tmpl w:val="C1988F50"/>
    <w:lvl w:ilvl="0" w:tplc="9F34091C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16BB2"/>
    <w:multiLevelType w:val="hybridMultilevel"/>
    <w:tmpl w:val="CD142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31CF9"/>
    <w:multiLevelType w:val="hybridMultilevel"/>
    <w:tmpl w:val="5F6874A6"/>
    <w:lvl w:ilvl="0" w:tplc="5D46CA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15F01"/>
    <w:multiLevelType w:val="hybridMultilevel"/>
    <w:tmpl w:val="2DFC663C"/>
    <w:lvl w:ilvl="0" w:tplc="98D251C4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251B5"/>
    <w:multiLevelType w:val="hybridMultilevel"/>
    <w:tmpl w:val="19BE1366"/>
    <w:lvl w:ilvl="0" w:tplc="A738B0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A51C2"/>
    <w:multiLevelType w:val="hybridMultilevel"/>
    <w:tmpl w:val="74684048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6D6106"/>
    <w:multiLevelType w:val="hybridMultilevel"/>
    <w:tmpl w:val="1CCE8444"/>
    <w:lvl w:ilvl="0" w:tplc="AFE2DC9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E1565"/>
    <w:multiLevelType w:val="hybridMultilevel"/>
    <w:tmpl w:val="EB60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A2EC3"/>
    <w:multiLevelType w:val="multilevel"/>
    <w:tmpl w:val="649A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5C7936"/>
    <w:multiLevelType w:val="hybridMultilevel"/>
    <w:tmpl w:val="A3F09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69975">
    <w:abstractNumId w:val="7"/>
  </w:num>
  <w:num w:numId="2" w16cid:durableId="1499231988">
    <w:abstractNumId w:val="17"/>
  </w:num>
  <w:num w:numId="3" w16cid:durableId="856238706">
    <w:abstractNumId w:val="1"/>
  </w:num>
  <w:num w:numId="4" w16cid:durableId="1105463750">
    <w:abstractNumId w:val="5"/>
  </w:num>
  <w:num w:numId="5" w16cid:durableId="129253805">
    <w:abstractNumId w:val="15"/>
  </w:num>
  <w:num w:numId="6" w16cid:durableId="739714848">
    <w:abstractNumId w:val="13"/>
  </w:num>
  <w:num w:numId="7" w16cid:durableId="1963226528">
    <w:abstractNumId w:val="9"/>
  </w:num>
  <w:num w:numId="8" w16cid:durableId="580725055">
    <w:abstractNumId w:val="3"/>
  </w:num>
  <w:num w:numId="9" w16cid:durableId="1681850618">
    <w:abstractNumId w:val="6"/>
  </w:num>
  <w:num w:numId="10" w16cid:durableId="1834955466">
    <w:abstractNumId w:val="14"/>
  </w:num>
  <w:num w:numId="11" w16cid:durableId="1194686374">
    <w:abstractNumId w:val="12"/>
  </w:num>
  <w:num w:numId="12" w16cid:durableId="1013848153">
    <w:abstractNumId w:val="0"/>
  </w:num>
  <w:num w:numId="13" w16cid:durableId="1735860299">
    <w:abstractNumId w:val="10"/>
  </w:num>
  <w:num w:numId="14" w16cid:durableId="1802259500">
    <w:abstractNumId w:val="2"/>
  </w:num>
  <w:num w:numId="15" w16cid:durableId="862935133">
    <w:abstractNumId w:val="11"/>
  </w:num>
  <w:num w:numId="16" w16cid:durableId="1383754773">
    <w:abstractNumId w:val="4"/>
  </w:num>
  <w:num w:numId="17" w16cid:durableId="1302615328">
    <w:abstractNumId w:val="8"/>
  </w:num>
  <w:num w:numId="18" w16cid:durableId="19219831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3A"/>
    <w:rsid w:val="000259D6"/>
    <w:rsid w:val="00037112"/>
    <w:rsid w:val="00061AE9"/>
    <w:rsid w:val="00097951"/>
    <w:rsid w:val="000A5A67"/>
    <w:rsid w:val="000B399F"/>
    <w:rsid w:val="000B3F9C"/>
    <w:rsid w:val="000D3205"/>
    <w:rsid w:val="000F6D9C"/>
    <w:rsid w:val="00132ED3"/>
    <w:rsid w:val="00133C63"/>
    <w:rsid w:val="00141EF3"/>
    <w:rsid w:val="00147CE6"/>
    <w:rsid w:val="00160A4C"/>
    <w:rsid w:val="00160C1F"/>
    <w:rsid w:val="001A394E"/>
    <w:rsid w:val="001D425B"/>
    <w:rsid w:val="00201DAF"/>
    <w:rsid w:val="00205DCF"/>
    <w:rsid w:val="002323C9"/>
    <w:rsid w:val="0028455E"/>
    <w:rsid w:val="00284587"/>
    <w:rsid w:val="002B036A"/>
    <w:rsid w:val="002B7F01"/>
    <w:rsid w:val="002E46A3"/>
    <w:rsid w:val="002E6BD0"/>
    <w:rsid w:val="002E6DE0"/>
    <w:rsid w:val="002F2848"/>
    <w:rsid w:val="003521CA"/>
    <w:rsid w:val="00357119"/>
    <w:rsid w:val="0036246A"/>
    <w:rsid w:val="003736DB"/>
    <w:rsid w:val="003B5ED7"/>
    <w:rsid w:val="003D502F"/>
    <w:rsid w:val="003D6AF6"/>
    <w:rsid w:val="003E0033"/>
    <w:rsid w:val="003E5FE4"/>
    <w:rsid w:val="004029E3"/>
    <w:rsid w:val="00407546"/>
    <w:rsid w:val="00424B6F"/>
    <w:rsid w:val="00432F8D"/>
    <w:rsid w:val="00472F70"/>
    <w:rsid w:val="00474342"/>
    <w:rsid w:val="00474AB5"/>
    <w:rsid w:val="004B4CF7"/>
    <w:rsid w:val="004C7931"/>
    <w:rsid w:val="004D1437"/>
    <w:rsid w:val="004F0615"/>
    <w:rsid w:val="0050763F"/>
    <w:rsid w:val="00535139"/>
    <w:rsid w:val="00540AA8"/>
    <w:rsid w:val="0057461C"/>
    <w:rsid w:val="00596882"/>
    <w:rsid w:val="005B358E"/>
    <w:rsid w:val="005C38EB"/>
    <w:rsid w:val="005F2398"/>
    <w:rsid w:val="006021EE"/>
    <w:rsid w:val="00642F22"/>
    <w:rsid w:val="0065216B"/>
    <w:rsid w:val="00652741"/>
    <w:rsid w:val="00675E05"/>
    <w:rsid w:val="00691E6A"/>
    <w:rsid w:val="0069550A"/>
    <w:rsid w:val="006A7DE2"/>
    <w:rsid w:val="006D2CD2"/>
    <w:rsid w:val="0070225D"/>
    <w:rsid w:val="007432A2"/>
    <w:rsid w:val="00777C95"/>
    <w:rsid w:val="00787F21"/>
    <w:rsid w:val="00791AD5"/>
    <w:rsid w:val="007976EF"/>
    <w:rsid w:val="007D6712"/>
    <w:rsid w:val="0081250E"/>
    <w:rsid w:val="0084147E"/>
    <w:rsid w:val="00854EE5"/>
    <w:rsid w:val="008563AD"/>
    <w:rsid w:val="00881625"/>
    <w:rsid w:val="008C06C2"/>
    <w:rsid w:val="00904FDC"/>
    <w:rsid w:val="00905B18"/>
    <w:rsid w:val="00947155"/>
    <w:rsid w:val="009514DB"/>
    <w:rsid w:val="00956F3B"/>
    <w:rsid w:val="009618DF"/>
    <w:rsid w:val="00963EF5"/>
    <w:rsid w:val="00964B11"/>
    <w:rsid w:val="0097315F"/>
    <w:rsid w:val="00973B44"/>
    <w:rsid w:val="00982760"/>
    <w:rsid w:val="009C41A5"/>
    <w:rsid w:val="00A03F84"/>
    <w:rsid w:val="00A16284"/>
    <w:rsid w:val="00A248D8"/>
    <w:rsid w:val="00A27C66"/>
    <w:rsid w:val="00A3509A"/>
    <w:rsid w:val="00A74A0D"/>
    <w:rsid w:val="00A8347E"/>
    <w:rsid w:val="00AD6451"/>
    <w:rsid w:val="00AE5B0E"/>
    <w:rsid w:val="00AF5853"/>
    <w:rsid w:val="00B32710"/>
    <w:rsid w:val="00B57752"/>
    <w:rsid w:val="00B7350A"/>
    <w:rsid w:val="00B755C8"/>
    <w:rsid w:val="00B76D7F"/>
    <w:rsid w:val="00B81874"/>
    <w:rsid w:val="00B8246F"/>
    <w:rsid w:val="00BB4B4F"/>
    <w:rsid w:val="00BD3258"/>
    <w:rsid w:val="00BD74E2"/>
    <w:rsid w:val="00C82D79"/>
    <w:rsid w:val="00C9093A"/>
    <w:rsid w:val="00CA5A6B"/>
    <w:rsid w:val="00CC550B"/>
    <w:rsid w:val="00D02C4F"/>
    <w:rsid w:val="00D415BA"/>
    <w:rsid w:val="00D71C35"/>
    <w:rsid w:val="00D76B92"/>
    <w:rsid w:val="00D92E4E"/>
    <w:rsid w:val="00DB0079"/>
    <w:rsid w:val="00DB0A59"/>
    <w:rsid w:val="00DC0D39"/>
    <w:rsid w:val="00DD5978"/>
    <w:rsid w:val="00DE0E48"/>
    <w:rsid w:val="00E0313A"/>
    <w:rsid w:val="00E236C2"/>
    <w:rsid w:val="00E30CC1"/>
    <w:rsid w:val="00E406E3"/>
    <w:rsid w:val="00E61E1F"/>
    <w:rsid w:val="00E678CA"/>
    <w:rsid w:val="00E80C58"/>
    <w:rsid w:val="00E973B0"/>
    <w:rsid w:val="00E97522"/>
    <w:rsid w:val="00EA7854"/>
    <w:rsid w:val="00EC002E"/>
    <w:rsid w:val="00ED1C85"/>
    <w:rsid w:val="00EE37E0"/>
    <w:rsid w:val="00F16F84"/>
    <w:rsid w:val="00F2685B"/>
    <w:rsid w:val="00F27795"/>
    <w:rsid w:val="00F73783"/>
    <w:rsid w:val="00F83E4A"/>
    <w:rsid w:val="00F86145"/>
    <w:rsid w:val="00FC164E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310AD"/>
  <w15:docId w15:val="{AAA92BBA-B041-4109-B132-FFEFA113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AD5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93A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093A"/>
    <w:pPr>
      <w:spacing w:after="0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3A"/>
    <w:rPr>
      <w:sz w:val="16"/>
      <w:szCs w:val="16"/>
    </w:rPr>
  </w:style>
  <w:style w:type="paragraph" w:styleId="Header">
    <w:name w:val="header"/>
    <w:basedOn w:val="Normal"/>
    <w:link w:val="HeaderChar"/>
    <w:unhideWhenUsed/>
    <w:rsid w:val="00C9093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9093A"/>
  </w:style>
  <w:style w:type="paragraph" w:styleId="Footer">
    <w:name w:val="footer"/>
    <w:basedOn w:val="Normal"/>
    <w:link w:val="FooterChar"/>
    <w:unhideWhenUsed/>
    <w:rsid w:val="00C9093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093A"/>
  </w:style>
  <w:style w:type="character" w:styleId="PlaceholderText">
    <w:name w:val="Placeholder Text"/>
    <w:basedOn w:val="DefaultParagraphFont"/>
    <w:uiPriority w:val="99"/>
    <w:semiHidden/>
    <w:rsid w:val="00C9093A"/>
    <w:rPr>
      <w:color w:val="808080"/>
    </w:rPr>
  </w:style>
  <w:style w:type="paragraph" w:styleId="ListParagraph">
    <w:name w:val="List Paragraph"/>
    <w:basedOn w:val="Normal"/>
    <w:uiPriority w:val="34"/>
    <w:qFormat/>
    <w:rsid w:val="002F28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1AD5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A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1">
    <w:name w:val="normaltextrun1"/>
    <w:basedOn w:val="DefaultParagraphFont"/>
    <w:rsid w:val="00CC550B"/>
  </w:style>
  <w:style w:type="paragraph" w:customStyle="1" w:styleId="paragraph">
    <w:name w:val="paragraph"/>
    <w:basedOn w:val="Normal"/>
    <w:rsid w:val="00CC550B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CC550B"/>
  </w:style>
  <w:style w:type="character" w:styleId="CommentReference">
    <w:name w:val="annotation reference"/>
    <w:basedOn w:val="DefaultParagraphFont"/>
    <w:uiPriority w:val="99"/>
    <w:semiHidden/>
    <w:unhideWhenUsed/>
    <w:rsid w:val="00CC5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5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50B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7432A2"/>
    <w:pPr>
      <w:suppressAutoHyphens/>
      <w:spacing w:after="120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7432A2"/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BasicParagraph">
    <w:name w:val="[Basic Paragraph]"/>
    <w:basedOn w:val="Normal"/>
    <w:rsid w:val="007432A2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Times-Roman" w:hAnsi="Times-Roman" w:cs="Times-Roman"/>
      <w:color w:val="000000"/>
      <w:sz w:val="24"/>
      <w:szCs w:val="24"/>
      <w:lang w:val="en-US" w:eastAsia="hi-IN" w:bidi="hi-IN"/>
    </w:rPr>
  </w:style>
  <w:style w:type="paragraph" w:customStyle="1" w:styleId="ListBulleted">
    <w:name w:val="List Bulleted"/>
    <w:basedOn w:val="Normal"/>
    <w:rsid w:val="007432A2"/>
    <w:pPr>
      <w:numPr>
        <w:numId w:val="8"/>
      </w:numPr>
      <w:spacing w:before="80" w:after="120"/>
    </w:pPr>
    <w:rPr>
      <w:rFonts w:ascii="Arial" w:eastAsia="Times New Roman" w:hAnsi="Arial" w:cs="Times New Roman"/>
      <w:bCs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07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0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007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471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1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4147E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AE5B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government/uploads/system/uploads/attachment_data/file/1036118/Guidance_for_approval_of_senior_pay_final_2021_Version.pdf" TargetMode="External"/><Relationship Id="rId1" Type="http://schemas.openxmlformats.org/officeDocument/2006/relationships/hyperlink" Target="https://assets.publishing.service.gov.uk/government/uploads/system/uploads/attachment_data/file/1175061/Senior_Pay_Guidance_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F017689BF5E4FA60AB34DD0FFD031" ma:contentTypeVersion="16" ma:contentTypeDescription="Create a new document." ma:contentTypeScope="" ma:versionID="5eac8b96c942e2f2c12b1895167bfc9c">
  <xsd:schema xmlns:xsd="http://www.w3.org/2001/XMLSchema" xmlns:xs="http://www.w3.org/2001/XMLSchema" xmlns:p="http://schemas.microsoft.com/office/2006/metadata/properties" xmlns:ns2="96892819-a44a-41ae-a563-e25c4856ab4f" xmlns:ns3="e3ad9946-2755-43c9-8f14-32279eff52bd" targetNamespace="http://schemas.microsoft.com/office/2006/metadata/properties" ma:root="true" ma:fieldsID="95f7cdd1ce2815c13498308e2a5eb79c" ns2:_="" ns3:_="">
    <xsd:import namespace="96892819-a44a-41ae-a563-e25c4856ab4f"/>
    <xsd:import namespace="e3ad9946-2755-43c9-8f14-32279eff5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92819-a44a-41ae-a563-e25c4856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0ee5a22-69dd-489d-8931-0c325d6f8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9946-2755-43c9-8f14-32279eff5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f6f1943-0108-4728-a164-7b95ff8dbb73}" ma:internalName="TaxCatchAll" ma:showField="CatchAllData" ma:web="e3ad9946-2755-43c9-8f14-32279eff52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892819-a44a-41ae-a563-e25c4856ab4f">
      <Terms xmlns="http://schemas.microsoft.com/office/infopath/2007/PartnerControls"/>
    </lcf76f155ced4ddcb4097134ff3c332f>
    <TaxCatchAll xmlns="e3ad9946-2755-43c9-8f14-32279eff52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5294C-BA1A-4BAE-A0C6-73009AA9D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92819-a44a-41ae-a563-e25c4856ab4f"/>
    <ds:schemaRef ds:uri="e3ad9946-2755-43c9-8f14-32279eff5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1B53F-87A8-4E62-8EB5-3986B0A53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2A5F5-E549-4E87-A746-9B1CB9E06E81}">
  <ds:schemaRefs>
    <ds:schemaRef ds:uri="http://schemas.microsoft.com/office/2006/metadata/properties"/>
    <ds:schemaRef ds:uri="http://schemas.microsoft.com/office/infopath/2007/PartnerControls"/>
    <ds:schemaRef ds:uri="96892819-a44a-41ae-a563-e25c4856ab4f"/>
    <ds:schemaRef ds:uri="e3ad9946-2755-43c9-8f14-32279eff52bd"/>
  </ds:schemaRefs>
</ds:datastoreItem>
</file>

<file path=customXml/itemProps4.xml><?xml version="1.0" encoding="utf-8"?>
<ds:datastoreItem xmlns:ds="http://schemas.openxmlformats.org/officeDocument/2006/customXml" ds:itemID="{73065BED-FE67-41E7-8453-4330D445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 Riverside College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Turner</dc:creator>
  <cp:lastModifiedBy>Sarah Thompson</cp:lastModifiedBy>
  <cp:revision>23</cp:revision>
  <dcterms:created xsi:type="dcterms:W3CDTF">2024-12-04T00:23:00Z</dcterms:created>
  <dcterms:modified xsi:type="dcterms:W3CDTF">2025-11-18T12:16:00Z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0x01010051AF017689BF5E4FA60AB34DD0FFD031</vt:lpwstr>
  </property>
  <property fmtid="{D5CDD505-2E9C-101B-9397-08002B2CF9AE}" pid="3" name="MediaServiceImageTags">
    <vt:lpwstr/>
  </property>
  <property fmtid="{D5CDD505-2E9C-101B-9397-08002B2CF9AE}" pid="4" name="MSIP_Label_67e08e62-16ad-4613-967d-21554f0d2219_Enabled">
    <vt:lpwstr>true</vt:lpwstr>
  </property>
  <property fmtid="{D5CDD505-2E9C-101B-9397-08002B2CF9AE}" pid="5" name="MSIP_Label_67e08e62-16ad-4613-967d-21554f0d2219_SetDate">
    <vt:lpwstr>2024-09-18T13:39:33Z</vt:lpwstr>
  </property>
  <property fmtid="{D5CDD505-2E9C-101B-9397-08002B2CF9AE}" pid="6" name="MSIP_Label_67e08e62-16ad-4613-967d-21554f0d2219_Method">
    <vt:lpwstr>Standard</vt:lpwstr>
  </property>
  <property fmtid="{D5CDD505-2E9C-101B-9397-08002B2CF9AE}" pid="7" name="MSIP_Label_67e08e62-16ad-4613-967d-21554f0d2219_Name">
    <vt:lpwstr>defa4170-0d19-0005-0004-bc88714345d2</vt:lpwstr>
  </property>
  <property fmtid="{D5CDD505-2E9C-101B-9397-08002B2CF9AE}" pid="8" name="MSIP_Label_67e08e62-16ad-4613-967d-21554f0d2219_SiteId">
    <vt:lpwstr>cb811789-d752-4ec2-8215-356e22c04d4f</vt:lpwstr>
  </property>
  <property fmtid="{D5CDD505-2E9C-101B-9397-08002B2CF9AE}" pid="9" name="MSIP_Label_67e08e62-16ad-4613-967d-21554f0d2219_ActionId">
    <vt:lpwstr>d47bcba1-45cf-4b75-8e9a-e7e5c7364afc</vt:lpwstr>
  </property>
  <property fmtid="{D5CDD505-2E9C-101B-9397-08002B2CF9AE}" pid="10" name="MSIP_Label_67e08e62-16ad-4613-967d-21554f0d2219_ContentBits">
    <vt:lpwstr>0</vt:lpwstr>
  </property>
</Properties>
</file>