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36BBF" w14:textId="1EB8DB89" w:rsidR="007D0711" w:rsidRPr="001E5BE8" w:rsidRDefault="007D0711" w:rsidP="007D4538">
      <w:pPr>
        <w:spacing w:after="0" w:line="276" w:lineRule="auto"/>
        <w:rPr>
          <w:rFonts w:ascii="Aptos" w:hAnsi="Aptos" w:cstheme="minorHAnsi"/>
          <w:b/>
        </w:rPr>
      </w:pPr>
      <w:r w:rsidRPr="001E5BE8">
        <w:rPr>
          <w:rFonts w:ascii="Aptos" w:hAnsi="Aptos" w:cstheme="minorHAnsi"/>
          <w:b/>
        </w:rPr>
        <w:t>TERMS OF REFERENCE - PEOPLE COMMITTEE</w:t>
      </w:r>
    </w:p>
    <w:p w14:paraId="66496530" w14:textId="77777777" w:rsidR="007D0711" w:rsidRPr="001E5BE8" w:rsidRDefault="007D0711" w:rsidP="007D4538">
      <w:pPr>
        <w:spacing w:after="0" w:line="276" w:lineRule="auto"/>
        <w:jc w:val="center"/>
        <w:rPr>
          <w:rFonts w:ascii="Aptos" w:hAnsi="Aptos" w:cstheme="minorHAnsi"/>
          <w:b/>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371"/>
      </w:tblGrid>
      <w:tr w:rsidR="007D0711" w:rsidRPr="001E5BE8" w14:paraId="4CE977D0" w14:textId="77777777" w:rsidTr="00B612B8">
        <w:tc>
          <w:tcPr>
            <w:tcW w:w="1560" w:type="dxa"/>
          </w:tcPr>
          <w:p w14:paraId="28BBC45F" w14:textId="77777777" w:rsidR="007D0711" w:rsidRPr="001E5BE8" w:rsidRDefault="007D0711" w:rsidP="007D4538">
            <w:pPr>
              <w:spacing w:after="0" w:line="276" w:lineRule="auto"/>
              <w:rPr>
                <w:rFonts w:ascii="Aptos" w:hAnsi="Aptos" w:cstheme="minorHAnsi"/>
              </w:rPr>
            </w:pPr>
            <w:r w:rsidRPr="001E5BE8">
              <w:rPr>
                <w:rFonts w:ascii="Aptos" w:hAnsi="Aptos" w:cstheme="minorHAnsi"/>
              </w:rPr>
              <w:t>Composition:</w:t>
            </w:r>
          </w:p>
        </w:tc>
        <w:tc>
          <w:tcPr>
            <w:tcW w:w="7371" w:type="dxa"/>
          </w:tcPr>
          <w:p w14:paraId="4669337F" w14:textId="77777777" w:rsidR="007D0711" w:rsidRPr="001E5BE8" w:rsidRDefault="007D0711" w:rsidP="007D4538">
            <w:pPr>
              <w:spacing w:after="0" w:line="276" w:lineRule="auto"/>
              <w:rPr>
                <w:rFonts w:ascii="Aptos" w:hAnsi="Aptos" w:cstheme="minorHAnsi"/>
              </w:rPr>
            </w:pPr>
            <w:r w:rsidRPr="001E5BE8">
              <w:rPr>
                <w:rFonts w:ascii="Aptos" w:hAnsi="Aptos" w:cstheme="minorHAnsi"/>
              </w:rPr>
              <w:t>At least four members, including the Chief Executive and Group Principal as ex officio member</w:t>
            </w:r>
          </w:p>
        </w:tc>
      </w:tr>
      <w:tr w:rsidR="007D0711" w:rsidRPr="001E5BE8" w14:paraId="7BD3A0A1" w14:textId="77777777" w:rsidTr="00B612B8">
        <w:tc>
          <w:tcPr>
            <w:tcW w:w="1560" w:type="dxa"/>
          </w:tcPr>
          <w:p w14:paraId="33A636E3" w14:textId="77777777" w:rsidR="007D0711" w:rsidRPr="001E5BE8" w:rsidRDefault="007D0711" w:rsidP="007D4538">
            <w:pPr>
              <w:spacing w:after="0" w:line="276" w:lineRule="auto"/>
              <w:rPr>
                <w:rFonts w:ascii="Aptos" w:hAnsi="Aptos" w:cstheme="minorHAnsi"/>
              </w:rPr>
            </w:pPr>
            <w:r w:rsidRPr="001E5BE8">
              <w:rPr>
                <w:rFonts w:ascii="Aptos" w:hAnsi="Aptos" w:cstheme="minorHAnsi"/>
              </w:rPr>
              <w:t>Quorum:</w:t>
            </w:r>
          </w:p>
        </w:tc>
        <w:tc>
          <w:tcPr>
            <w:tcW w:w="7371" w:type="dxa"/>
          </w:tcPr>
          <w:p w14:paraId="0A947185" w14:textId="77777777" w:rsidR="007D0711" w:rsidRPr="001E5BE8" w:rsidRDefault="007D0711" w:rsidP="007D4538">
            <w:pPr>
              <w:spacing w:after="0" w:line="276" w:lineRule="auto"/>
              <w:rPr>
                <w:rFonts w:ascii="Aptos" w:hAnsi="Aptos" w:cstheme="minorHAnsi"/>
              </w:rPr>
            </w:pPr>
            <w:r w:rsidRPr="001E5BE8">
              <w:rPr>
                <w:rFonts w:ascii="Aptos" w:hAnsi="Aptos" w:cstheme="minorHAnsi"/>
              </w:rPr>
              <w:t xml:space="preserve">40% of committee membership, subject to minimum of three </w:t>
            </w:r>
          </w:p>
        </w:tc>
      </w:tr>
      <w:tr w:rsidR="007D0711" w:rsidRPr="001E5BE8" w14:paraId="47DAE71D" w14:textId="77777777" w:rsidTr="00B612B8">
        <w:tc>
          <w:tcPr>
            <w:tcW w:w="1560" w:type="dxa"/>
          </w:tcPr>
          <w:p w14:paraId="00C62BDD" w14:textId="77777777" w:rsidR="007D0711" w:rsidRPr="001E5BE8" w:rsidRDefault="007D0711" w:rsidP="007D4538">
            <w:pPr>
              <w:spacing w:after="0" w:line="276" w:lineRule="auto"/>
              <w:rPr>
                <w:rFonts w:ascii="Aptos" w:hAnsi="Aptos" w:cstheme="minorHAnsi"/>
              </w:rPr>
            </w:pPr>
            <w:r w:rsidRPr="001E5BE8">
              <w:rPr>
                <w:rFonts w:ascii="Aptos" w:hAnsi="Aptos" w:cstheme="minorHAnsi"/>
              </w:rPr>
              <w:t>Attendance</w:t>
            </w:r>
          </w:p>
        </w:tc>
        <w:tc>
          <w:tcPr>
            <w:tcW w:w="7371" w:type="dxa"/>
          </w:tcPr>
          <w:p w14:paraId="4D8D7C00" w14:textId="4DACF30E" w:rsidR="007D0711" w:rsidRPr="001E5BE8" w:rsidRDefault="007D0711" w:rsidP="007D4538">
            <w:pPr>
              <w:spacing w:after="0" w:line="276" w:lineRule="auto"/>
              <w:rPr>
                <w:rFonts w:ascii="Aptos" w:hAnsi="Aptos" w:cstheme="minorHAnsi"/>
              </w:rPr>
            </w:pPr>
            <w:r w:rsidRPr="001E5BE8">
              <w:rPr>
                <w:rFonts w:ascii="Aptos" w:hAnsi="Aptos" w:cstheme="minorHAnsi"/>
              </w:rPr>
              <w:t xml:space="preserve">The Corporation attendance target is 80%. Committee members are therefore expected to attend all </w:t>
            </w:r>
            <w:r w:rsidR="001E5BE8">
              <w:rPr>
                <w:rFonts w:ascii="Aptos" w:hAnsi="Aptos" w:cstheme="minorHAnsi"/>
              </w:rPr>
              <w:t>four</w:t>
            </w:r>
            <w:r w:rsidR="001E5BE8" w:rsidRPr="001E5BE8">
              <w:rPr>
                <w:rFonts w:ascii="Aptos" w:hAnsi="Aptos" w:cstheme="minorHAnsi"/>
              </w:rPr>
              <w:t xml:space="preserve"> </w:t>
            </w:r>
            <w:r w:rsidRPr="001E5BE8">
              <w:rPr>
                <w:rFonts w:ascii="Aptos" w:hAnsi="Aptos" w:cstheme="minorHAnsi"/>
              </w:rPr>
              <w:t xml:space="preserve">meetings scheduled in </w:t>
            </w:r>
            <w:r w:rsidR="003C6123" w:rsidRPr="001E5BE8">
              <w:rPr>
                <w:rFonts w:ascii="Aptos" w:hAnsi="Aptos" w:cstheme="minorHAnsi"/>
              </w:rPr>
              <w:t>202</w:t>
            </w:r>
            <w:r w:rsidR="003C6123">
              <w:rPr>
                <w:rFonts w:ascii="Aptos" w:hAnsi="Aptos" w:cstheme="minorHAnsi"/>
              </w:rPr>
              <w:t>5</w:t>
            </w:r>
            <w:r w:rsidRPr="001E5BE8">
              <w:rPr>
                <w:rFonts w:ascii="Aptos" w:hAnsi="Aptos" w:cstheme="minorHAnsi"/>
              </w:rPr>
              <w:t>-</w:t>
            </w:r>
            <w:r w:rsidR="003C6123" w:rsidRPr="001E5BE8">
              <w:rPr>
                <w:rFonts w:ascii="Aptos" w:hAnsi="Aptos" w:cstheme="minorHAnsi"/>
              </w:rPr>
              <w:t>2</w:t>
            </w:r>
            <w:r w:rsidR="003C6123">
              <w:rPr>
                <w:rFonts w:ascii="Aptos" w:hAnsi="Aptos" w:cstheme="minorHAnsi"/>
              </w:rPr>
              <w:t>6</w:t>
            </w:r>
          </w:p>
        </w:tc>
      </w:tr>
      <w:tr w:rsidR="007D0711" w:rsidRPr="001E5BE8" w14:paraId="655F4D84" w14:textId="77777777" w:rsidTr="00B612B8">
        <w:tc>
          <w:tcPr>
            <w:tcW w:w="1560" w:type="dxa"/>
          </w:tcPr>
          <w:p w14:paraId="33E1240B" w14:textId="77777777" w:rsidR="007D0711" w:rsidRPr="001E5BE8" w:rsidRDefault="007D0711" w:rsidP="007D4538">
            <w:pPr>
              <w:spacing w:after="0" w:line="276" w:lineRule="auto"/>
              <w:rPr>
                <w:rFonts w:ascii="Aptos" w:hAnsi="Aptos" w:cstheme="minorHAnsi"/>
              </w:rPr>
            </w:pPr>
            <w:r w:rsidRPr="001E5BE8">
              <w:rPr>
                <w:rFonts w:ascii="Aptos" w:hAnsi="Aptos" w:cstheme="minorHAnsi"/>
              </w:rPr>
              <w:t>No of meetings per year</w:t>
            </w:r>
          </w:p>
        </w:tc>
        <w:tc>
          <w:tcPr>
            <w:tcW w:w="7371" w:type="dxa"/>
          </w:tcPr>
          <w:p w14:paraId="5F309209" w14:textId="77777777" w:rsidR="007D0711" w:rsidRPr="001E5BE8" w:rsidRDefault="007D0711" w:rsidP="007D4538">
            <w:pPr>
              <w:spacing w:after="0" w:line="276" w:lineRule="auto"/>
              <w:rPr>
                <w:rFonts w:ascii="Aptos" w:hAnsi="Aptos" w:cstheme="minorHAnsi"/>
              </w:rPr>
            </w:pPr>
            <w:r w:rsidRPr="001E5BE8">
              <w:rPr>
                <w:rFonts w:ascii="Aptos" w:hAnsi="Aptos" w:cstheme="minorHAnsi"/>
              </w:rPr>
              <w:t>As required with minimum of three</w:t>
            </w:r>
          </w:p>
        </w:tc>
      </w:tr>
      <w:tr w:rsidR="007D0711" w:rsidRPr="001E5BE8" w14:paraId="3923E98E" w14:textId="77777777" w:rsidTr="00B612B8">
        <w:tc>
          <w:tcPr>
            <w:tcW w:w="1560" w:type="dxa"/>
          </w:tcPr>
          <w:p w14:paraId="142DB086" w14:textId="77777777" w:rsidR="007D0711" w:rsidRPr="001E5BE8" w:rsidRDefault="007D0711" w:rsidP="007D4538">
            <w:pPr>
              <w:spacing w:after="0" w:line="276" w:lineRule="auto"/>
              <w:rPr>
                <w:rFonts w:ascii="Aptos" w:hAnsi="Aptos" w:cstheme="minorHAnsi"/>
              </w:rPr>
            </w:pPr>
            <w:r w:rsidRPr="001E5BE8">
              <w:rPr>
                <w:rFonts w:ascii="Aptos" w:hAnsi="Aptos" w:cstheme="minorHAnsi"/>
              </w:rPr>
              <w:t>Chair:</w:t>
            </w:r>
          </w:p>
        </w:tc>
        <w:tc>
          <w:tcPr>
            <w:tcW w:w="7371" w:type="dxa"/>
          </w:tcPr>
          <w:p w14:paraId="37D9C9EA" w14:textId="77777777" w:rsidR="007D0711" w:rsidRPr="001E5BE8" w:rsidRDefault="007D0711" w:rsidP="007D4538">
            <w:pPr>
              <w:spacing w:after="0" w:line="276" w:lineRule="auto"/>
              <w:rPr>
                <w:rFonts w:ascii="Aptos" w:hAnsi="Aptos" w:cstheme="minorHAnsi"/>
              </w:rPr>
            </w:pPr>
            <w:r w:rsidRPr="001E5BE8">
              <w:rPr>
                <w:rFonts w:ascii="Aptos" w:hAnsi="Aptos" w:cstheme="minorHAnsi"/>
              </w:rPr>
              <w:t>Selected by committee, reviewed annually and may not be Chief Executive and Group Principal</w:t>
            </w:r>
          </w:p>
        </w:tc>
      </w:tr>
      <w:tr w:rsidR="007D0711" w:rsidRPr="001E5BE8" w14:paraId="4E1321CE" w14:textId="77777777" w:rsidTr="00B612B8">
        <w:tc>
          <w:tcPr>
            <w:tcW w:w="1560" w:type="dxa"/>
          </w:tcPr>
          <w:p w14:paraId="31C3B45E" w14:textId="77777777" w:rsidR="007D0711" w:rsidRPr="001E5BE8" w:rsidRDefault="007D0711" w:rsidP="007D4538">
            <w:pPr>
              <w:spacing w:after="0" w:line="276" w:lineRule="auto"/>
              <w:rPr>
                <w:rFonts w:ascii="Aptos" w:hAnsi="Aptos" w:cstheme="minorHAnsi"/>
              </w:rPr>
            </w:pPr>
            <w:r w:rsidRPr="001E5BE8">
              <w:rPr>
                <w:rFonts w:ascii="Aptos" w:hAnsi="Aptos" w:cstheme="minorHAnsi"/>
              </w:rPr>
              <w:t>Public access to meetings:</w:t>
            </w:r>
          </w:p>
        </w:tc>
        <w:tc>
          <w:tcPr>
            <w:tcW w:w="7371" w:type="dxa"/>
          </w:tcPr>
          <w:p w14:paraId="3BEB5470" w14:textId="77777777" w:rsidR="007D0711" w:rsidRPr="001E5BE8" w:rsidRDefault="007D0711" w:rsidP="007D4538">
            <w:pPr>
              <w:spacing w:after="0" w:line="276" w:lineRule="auto"/>
              <w:rPr>
                <w:rFonts w:ascii="Aptos" w:hAnsi="Aptos" w:cstheme="minorHAnsi"/>
              </w:rPr>
            </w:pPr>
            <w:r w:rsidRPr="001E5BE8">
              <w:rPr>
                <w:rFonts w:ascii="Aptos" w:hAnsi="Aptos" w:cstheme="minorHAnsi"/>
              </w:rPr>
              <w:t>By chair’s invitation, with members’ approval - see Standing Orders Section 12</w:t>
            </w:r>
          </w:p>
        </w:tc>
      </w:tr>
      <w:tr w:rsidR="007D0711" w:rsidRPr="001E5BE8" w14:paraId="1823B777" w14:textId="77777777" w:rsidTr="00B612B8">
        <w:tc>
          <w:tcPr>
            <w:tcW w:w="1560" w:type="dxa"/>
          </w:tcPr>
          <w:p w14:paraId="4F04C2DD" w14:textId="77777777" w:rsidR="007D0711" w:rsidRPr="001E5BE8" w:rsidRDefault="007D0711" w:rsidP="007D4538">
            <w:pPr>
              <w:spacing w:after="0" w:line="276" w:lineRule="auto"/>
              <w:rPr>
                <w:rFonts w:ascii="Aptos" w:hAnsi="Aptos" w:cstheme="minorHAnsi"/>
              </w:rPr>
            </w:pPr>
            <w:r w:rsidRPr="001E5BE8">
              <w:rPr>
                <w:rFonts w:ascii="Aptos" w:hAnsi="Aptos" w:cstheme="minorHAnsi"/>
              </w:rPr>
              <w:t>Conduct of meetings:</w:t>
            </w:r>
          </w:p>
        </w:tc>
        <w:tc>
          <w:tcPr>
            <w:tcW w:w="7371" w:type="dxa"/>
          </w:tcPr>
          <w:p w14:paraId="04B468C3" w14:textId="77777777" w:rsidR="007D0711" w:rsidRPr="001E5BE8" w:rsidRDefault="007D0711" w:rsidP="007D4538">
            <w:pPr>
              <w:spacing w:after="0" w:line="276" w:lineRule="auto"/>
              <w:rPr>
                <w:rFonts w:ascii="Aptos" w:hAnsi="Aptos" w:cstheme="minorHAnsi"/>
              </w:rPr>
            </w:pPr>
            <w:r w:rsidRPr="001E5BE8">
              <w:rPr>
                <w:rFonts w:ascii="Aptos" w:hAnsi="Aptos" w:cstheme="minorHAnsi"/>
              </w:rPr>
              <w:t>See Standing Orders Section 5</w:t>
            </w:r>
          </w:p>
        </w:tc>
      </w:tr>
      <w:tr w:rsidR="007D0711" w:rsidRPr="001E5BE8" w14:paraId="140A7154" w14:textId="77777777" w:rsidTr="00B612B8">
        <w:tc>
          <w:tcPr>
            <w:tcW w:w="1560" w:type="dxa"/>
          </w:tcPr>
          <w:p w14:paraId="2D4213AB" w14:textId="77777777" w:rsidR="007D0711" w:rsidRPr="001E5BE8" w:rsidRDefault="007D0711" w:rsidP="007D4538">
            <w:pPr>
              <w:spacing w:after="0" w:line="276" w:lineRule="auto"/>
              <w:rPr>
                <w:rFonts w:ascii="Aptos" w:hAnsi="Aptos" w:cstheme="minorHAnsi"/>
              </w:rPr>
            </w:pPr>
            <w:r w:rsidRPr="001E5BE8">
              <w:rPr>
                <w:rFonts w:ascii="Aptos" w:hAnsi="Aptos" w:cstheme="minorHAnsi"/>
              </w:rPr>
              <w:t>Minutes:</w:t>
            </w:r>
          </w:p>
        </w:tc>
        <w:tc>
          <w:tcPr>
            <w:tcW w:w="7371" w:type="dxa"/>
          </w:tcPr>
          <w:p w14:paraId="5AF94CE1" w14:textId="77777777" w:rsidR="007D0711" w:rsidRPr="001E5BE8" w:rsidRDefault="007D0711" w:rsidP="007D4538">
            <w:pPr>
              <w:spacing w:after="0" w:line="276" w:lineRule="auto"/>
              <w:rPr>
                <w:rFonts w:ascii="Aptos" w:hAnsi="Aptos" w:cstheme="minorHAnsi"/>
              </w:rPr>
            </w:pPr>
            <w:r w:rsidRPr="001E5BE8">
              <w:rPr>
                <w:rFonts w:ascii="Aptos" w:hAnsi="Aptos" w:cstheme="minorHAnsi"/>
              </w:rPr>
              <w:t>See Standing Orders Section 4 vi re approval</w:t>
            </w:r>
          </w:p>
          <w:p w14:paraId="290731B3" w14:textId="77777777" w:rsidR="007D0711" w:rsidRPr="001E5BE8" w:rsidRDefault="007D0711" w:rsidP="007D4538">
            <w:pPr>
              <w:spacing w:after="0" w:line="276" w:lineRule="auto"/>
              <w:rPr>
                <w:rFonts w:ascii="Aptos" w:hAnsi="Aptos" w:cstheme="minorHAnsi"/>
              </w:rPr>
            </w:pPr>
            <w:r w:rsidRPr="001E5BE8">
              <w:rPr>
                <w:rFonts w:ascii="Aptos" w:hAnsi="Aptos" w:cstheme="minorHAnsi"/>
              </w:rPr>
              <w:t>See Standing Orders Section 10 re circulation / publication (minutes must be open to public inspection)</w:t>
            </w:r>
          </w:p>
        </w:tc>
      </w:tr>
      <w:tr w:rsidR="007D0711" w:rsidRPr="001E5BE8" w14:paraId="0E63821C" w14:textId="77777777" w:rsidTr="00B612B8">
        <w:tc>
          <w:tcPr>
            <w:tcW w:w="1560" w:type="dxa"/>
          </w:tcPr>
          <w:p w14:paraId="6FAA5A10" w14:textId="77777777" w:rsidR="007D0711" w:rsidRPr="001E5BE8" w:rsidRDefault="007D0711" w:rsidP="007D4538">
            <w:pPr>
              <w:spacing w:after="0" w:line="276" w:lineRule="auto"/>
              <w:rPr>
                <w:rFonts w:ascii="Aptos" w:hAnsi="Aptos" w:cstheme="minorHAnsi"/>
              </w:rPr>
            </w:pPr>
            <w:r w:rsidRPr="001E5BE8">
              <w:rPr>
                <w:rFonts w:ascii="Aptos" w:hAnsi="Aptos" w:cstheme="minorHAnsi"/>
              </w:rPr>
              <w:t xml:space="preserve">Key functions: </w:t>
            </w:r>
          </w:p>
        </w:tc>
        <w:tc>
          <w:tcPr>
            <w:tcW w:w="7371" w:type="dxa"/>
          </w:tcPr>
          <w:p w14:paraId="754DFAA4" w14:textId="77777777" w:rsidR="007D0711" w:rsidRPr="001E5BE8" w:rsidRDefault="007D0711" w:rsidP="007D4538">
            <w:pPr>
              <w:spacing w:after="0" w:line="276" w:lineRule="auto"/>
              <w:jc w:val="both"/>
              <w:rPr>
                <w:rFonts w:ascii="Aptos" w:hAnsi="Aptos" w:cstheme="minorHAnsi"/>
              </w:rPr>
            </w:pPr>
            <w:r w:rsidRPr="001E5BE8">
              <w:rPr>
                <w:rFonts w:ascii="Aptos" w:hAnsi="Aptos" w:cstheme="minorHAnsi"/>
                <w:b/>
              </w:rPr>
              <w:t>Committee Purpose</w:t>
            </w:r>
          </w:p>
          <w:p w14:paraId="4B9555E5" w14:textId="77777777" w:rsidR="007D0711" w:rsidRPr="001E5BE8" w:rsidRDefault="007D0711" w:rsidP="007D4538">
            <w:pPr>
              <w:spacing w:after="0" w:line="276" w:lineRule="auto"/>
              <w:jc w:val="both"/>
              <w:rPr>
                <w:rFonts w:ascii="Aptos" w:hAnsi="Aptos" w:cstheme="minorHAnsi"/>
              </w:rPr>
            </w:pPr>
            <w:r w:rsidRPr="001E5BE8">
              <w:rPr>
                <w:rFonts w:ascii="Aptos" w:hAnsi="Aptos" w:cstheme="minorHAnsi"/>
              </w:rPr>
              <w:t xml:space="preserve">The People Committee is responsible for the duties of a Search Committee, as detailed in the Instrument and Articles of Government. This includes considering all matters relating to the recruitment of governors and their appointment, or reappointment. It makes recommendations which the Corporation is required to consider when appointing governors. </w:t>
            </w:r>
          </w:p>
          <w:p w14:paraId="3B0D16D2" w14:textId="77777777" w:rsidR="007D0711" w:rsidRPr="001E5BE8" w:rsidRDefault="007D0711" w:rsidP="007D4538">
            <w:pPr>
              <w:spacing w:after="0" w:line="276" w:lineRule="auto"/>
              <w:jc w:val="both"/>
              <w:rPr>
                <w:rFonts w:ascii="Aptos" w:hAnsi="Aptos" w:cstheme="minorHAnsi"/>
              </w:rPr>
            </w:pPr>
          </w:p>
          <w:p w14:paraId="00314DF6" w14:textId="0AE53DCF" w:rsidR="007D0711" w:rsidRPr="001E5BE8" w:rsidRDefault="007D0711" w:rsidP="007D4538">
            <w:pPr>
              <w:spacing w:after="0" w:line="276" w:lineRule="auto"/>
              <w:jc w:val="both"/>
              <w:rPr>
                <w:rFonts w:ascii="Aptos" w:hAnsi="Aptos" w:cstheme="minorHAnsi"/>
              </w:rPr>
            </w:pPr>
            <w:r w:rsidRPr="001E5BE8">
              <w:rPr>
                <w:rFonts w:ascii="Aptos" w:hAnsi="Aptos" w:cstheme="minorHAnsi"/>
              </w:rPr>
              <w:t xml:space="preserve">The committee also supports the Corporation to undertake an ongoing review of the effectiveness of governance, including the balance of Corporation members. </w:t>
            </w:r>
          </w:p>
          <w:p w14:paraId="7E887768" w14:textId="77777777" w:rsidR="007D0711" w:rsidRPr="001E5BE8" w:rsidRDefault="007D0711" w:rsidP="007D4538">
            <w:pPr>
              <w:spacing w:after="0" w:line="276" w:lineRule="auto"/>
              <w:jc w:val="both"/>
              <w:rPr>
                <w:rFonts w:ascii="Aptos" w:hAnsi="Aptos" w:cstheme="minorHAnsi"/>
              </w:rPr>
            </w:pPr>
          </w:p>
          <w:p w14:paraId="5459D4F5" w14:textId="77777777" w:rsidR="007D0711" w:rsidRPr="001E5BE8" w:rsidRDefault="007D0711" w:rsidP="007D4538">
            <w:pPr>
              <w:spacing w:after="0" w:line="276" w:lineRule="auto"/>
              <w:jc w:val="both"/>
              <w:rPr>
                <w:rFonts w:ascii="Aptos" w:hAnsi="Aptos" w:cstheme="minorHAnsi"/>
              </w:rPr>
            </w:pPr>
            <w:r w:rsidRPr="001E5BE8">
              <w:rPr>
                <w:rFonts w:ascii="Aptos" w:hAnsi="Aptos" w:cstheme="minorHAnsi"/>
              </w:rPr>
              <w:t>In addition, the committee supports the FE Corporation to ensure that the Etc. is fulfilling its responsibilities in respect of employment legislation and to gain assurance against Strategic Objective 6, ‘To lead ground-breaking approaches to developing our people, ensuring we attract and develop the best staff talent at the heart of the Etc. offer’</w:t>
            </w:r>
          </w:p>
          <w:p w14:paraId="154B8CC1" w14:textId="77777777" w:rsidR="007D0711" w:rsidRPr="001E5BE8" w:rsidRDefault="007D0711" w:rsidP="007D4538">
            <w:pPr>
              <w:spacing w:after="0" w:line="276" w:lineRule="auto"/>
              <w:jc w:val="both"/>
              <w:rPr>
                <w:rFonts w:ascii="Aptos" w:hAnsi="Aptos" w:cstheme="minorHAnsi"/>
              </w:rPr>
            </w:pPr>
          </w:p>
        </w:tc>
      </w:tr>
      <w:tr w:rsidR="007D0711" w:rsidRPr="001E5BE8" w14:paraId="41E9A1B1" w14:textId="77777777" w:rsidTr="00B612B8">
        <w:tc>
          <w:tcPr>
            <w:tcW w:w="1560" w:type="dxa"/>
          </w:tcPr>
          <w:p w14:paraId="1A833647" w14:textId="77777777" w:rsidR="007D0711" w:rsidRPr="001E5BE8" w:rsidRDefault="007D0711" w:rsidP="007D4538">
            <w:pPr>
              <w:spacing w:after="0" w:line="276" w:lineRule="auto"/>
              <w:rPr>
                <w:rFonts w:ascii="Aptos" w:hAnsi="Aptos" w:cstheme="minorHAnsi"/>
              </w:rPr>
            </w:pPr>
            <w:r w:rsidRPr="001E5BE8">
              <w:rPr>
                <w:rFonts w:ascii="Aptos" w:hAnsi="Aptos" w:cstheme="minorHAnsi"/>
              </w:rPr>
              <w:t>Delegated powers:</w:t>
            </w:r>
          </w:p>
        </w:tc>
        <w:tc>
          <w:tcPr>
            <w:tcW w:w="7371" w:type="dxa"/>
          </w:tcPr>
          <w:p w14:paraId="36C60DEC" w14:textId="77777777" w:rsidR="007D0711" w:rsidRPr="001E5BE8" w:rsidRDefault="007D0711" w:rsidP="007D4538">
            <w:pPr>
              <w:spacing w:after="0" w:line="276" w:lineRule="auto"/>
              <w:jc w:val="both"/>
              <w:rPr>
                <w:rFonts w:ascii="Aptos" w:hAnsi="Aptos" w:cstheme="minorHAnsi"/>
                <w:b/>
              </w:rPr>
            </w:pPr>
            <w:r w:rsidRPr="001E5BE8">
              <w:rPr>
                <w:rFonts w:ascii="Aptos" w:hAnsi="Aptos" w:cstheme="minorHAnsi"/>
                <w:b/>
              </w:rPr>
              <w:t>Search and Governance responsibilities</w:t>
            </w:r>
          </w:p>
          <w:p w14:paraId="6710DF30" w14:textId="77777777" w:rsidR="007D0711" w:rsidRPr="001E5BE8" w:rsidRDefault="007D0711" w:rsidP="007D4538">
            <w:pPr>
              <w:spacing w:after="0" w:line="276" w:lineRule="auto"/>
              <w:jc w:val="both"/>
              <w:rPr>
                <w:rFonts w:ascii="Aptos" w:hAnsi="Aptos" w:cstheme="minorHAnsi"/>
                <w:b/>
              </w:rPr>
            </w:pPr>
          </w:p>
          <w:p w14:paraId="0D4F2715" w14:textId="5982FBE3" w:rsidR="007D0711" w:rsidRPr="001E5BE8" w:rsidRDefault="007D0711" w:rsidP="007D4538">
            <w:pPr>
              <w:numPr>
                <w:ilvl w:val="0"/>
                <w:numId w:val="17"/>
              </w:numPr>
              <w:spacing w:after="0" w:line="276" w:lineRule="auto"/>
              <w:ind w:left="346" w:hanging="346"/>
              <w:jc w:val="both"/>
              <w:rPr>
                <w:rFonts w:ascii="Aptos" w:hAnsi="Aptos" w:cstheme="minorHAnsi"/>
              </w:rPr>
            </w:pPr>
            <w:r w:rsidRPr="001E5BE8">
              <w:rPr>
                <w:rFonts w:ascii="Aptos" w:hAnsi="Aptos" w:cstheme="minorHAnsi"/>
              </w:rPr>
              <w:t>The committee will be responsible for advising on the appointment of members of the Corporation and any co-opted members of the Corporation’s committees or task and finish group</w:t>
            </w:r>
            <w:r w:rsidR="00A30FBC">
              <w:rPr>
                <w:rFonts w:ascii="Aptos" w:hAnsi="Aptos" w:cstheme="minorHAnsi"/>
              </w:rPr>
              <w:t>s</w:t>
            </w:r>
            <w:r w:rsidRPr="001E5BE8">
              <w:rPr>
                <w:rFonts w:ascii="Aptos" w:hAnsi="Aptos" w:cstheme="minorHAnsi"/>
              </w:rPr>
              <w:t xml:space="preserve">. The committee will also be responsible for such other matters relating to membership and appointments as the Corporation may remit to the committee, for gathering, screening and short listing nominations in respect of vacancies on the Corporation, and for determining the process whereby candidates are nominated. In considering the reappointment of any existing governor, the committee will review their contribution. </w:t>
            </w:r>
          </w:p>
          <w:p w14:paraId="309B00A9" w14:textId="77777777" w:rsidR="007D0711" w:rsidRPr="001E5BE8" w:rsidRDefault="007D0711" w:rsidP="007D4538">
            <w:pPr>
              <w:spacing w:after="0" w:line="276" w:lineRule="auto"/>
              <w:ind w:left="317" w:hanging="317"/>
              <w:jc w:val="both"/>
              <w:rPr>
                <w:rFonts w:ascii="Aptos" w:hAnsi="Aptos" w:cstheme="minorHAnsi"/>
              </w:rPr>
            </w:pPr>
          </w:p>
          <w:p w14:paraId="4575176E" w14:textId="77777777" w:rsidR="007D0711" w:rsidRPr="001E5BE8" w:rsidRDefault="007D0711" w:rsidP="007D4538">
            <w:pPr>
              <w:numPr>
                <w:ilvl w:val="0"/>
                <w:numId w:val="17"/>
              </w:numPr>
              <w:spacing w:after="0" w:line="276" w:lineRule="auto"/>
              <w:ind w:left="317" w:hanging="317"/>
              <w:jc w:val="both"/>
              <w:rPr>
                <w:rFonts w:ascii="Aptos" w:hAnsi="Aptos" w:cstheme="minorHAnsi"/>
              </w:rPr>
            </w:pPr>
            <w:r w:rsidRPr="001E5BE8">
              <w:rPr>
                <w:rFonts w:ascii="Aptos" w:hAnsi="Aptos" w:cstheme="minorHAnsi"/>
              </w:rPr>
              <w:lastRenderedPageBreak/>
              <w:t>The committee will carry out a regular review of the diversity of the membership of the Corporation (minimum annually) and make recommendations accordingly.</w:t>
            </w:r>
          </w:p>
          <w:p w14:paraId="3810AE1A" w14:textId="77777777" w:rsidR="007D0711" w:rsidRPr="001E5BE8" w:rsidRDefault="007D0711" w:rsidP="007D4538">
            <w:pPr>
              <w:spacing w:after="0" w:line="276" w:lineRule="auto"/>
              <w:ind w:left="317" w:hanging="317"/>
              <w:jc w:val="both"/>
              <w:rPr>
                <w:rFonts w:ascii="Aptos" w:hAnsi="Aptos" w:cstheme="minorHAnsi"/>
              </w:rPr>
            </w:pPr>
          </w:p>
          <w:p w14:paraId="72F3FECC" w14:textId="77777777" w:rsidR="007D0711" w:rsidRPr="001E5BE8" w:rsidRDefault="007D0711" w:rsidP="007D4538">
            <w:pPr>
              <w:numPr>
                <w:ilvl w:val="0"/>
                <w:numId w:val="17"/>
              </w:numPr>
              <w:spacing w:after="0" w:line="276" w:lineRule="auto"/>
              <w:ind w:left="317" w:hanging="317"/>
              <w:jc w:val="both"/>
              <w:rPr>
                <w:rFonts w:ascii="Aptos" w:hAnsi="Aptos" w:cstheme="minorHAnsi"/>
              </w:rPr>
            </w:pPr>
            <w:r w:rsidRPr="001E5BE8">
              <w:rPr>
                <w:rFonts w:ascii="Aptos" w:hAnsi="Aptos" w:cstheme="minorHAnsi"/>
              </w:rPr>
              <w:t xml:space="preserve">The committee will, from time to time, undertake a high level review of the membership and/or terms of reference of the Corporation’s committees, task and finish groups and link governor roles and recommend any areas for improvement to the Corporation. </w:t>
            </w:r>
          </w:p>
          <w:p w14:paraId="1582D2C5" w14:textId="77777777" w:rsidR="007D0711" w:rsidRPr="001E5BE8" w:rsidRDefault="007D0711" w:rsidP="007D4538">
            <w:pPr>
              <w:spacing w:after="0" w:line="276" w:lineRule="auto"/>
              <w:ind w:left="317"/>
              <w:jc w:val="both"/>
              <w:rPr>
                <w:rFonts w:ascii="Aptos" w:hAnsi="Aptos" w:cstheme="minorHAnsi"/>
              </w:rPr>
            </w:pPr>
            <w:r w:rsidRPr="001E5BE8">
              <w:rPr>
                <w:rFonts w:ascii="Aptos" w:hAnsi="Aptos" w:cstheme="minorHAnsi"/>
              </w:rPr>
              <w:t xml:space="preserve">NB Each committee / task and finish group will be responsible for reviewing its own membership and terms of reference annually </w:t>
            </w:r>
          </w:p>
          <w:p w14:paraId="56DC9061" w14:textId="77777777" w:rsidR="007D0711" w:rsidRPr="001E5BE8" w:rsidRDefault="007D0711" w:rsidP="007D4538">
            <w:pPr>
              <w:spacing w:after="0" w:line="276" w:lineRule="auto"/>
              <w:jc w:val="both"/>
              <w:rPr>
                <w:rFonts w:ascii="Aptos" w:hAnsi="Aptos" w:cstheme="minorHAnsi"/>
              </w:rPr>
            </w:pPr>
          </w:p>
          <w:p w14:paraId="669BB7A5" w14:textId="77777777" w:rsidR="007D0711" w:rsidRPr="001E5BE8" w:rsidRDefault="007D0711" w:rsidP="007D4538">
            <w:pPr>
              <w:numPr>
                <w:ilvl w:val="0"/>
                <w:numId w:val="17"/>
              </w:numPr>
              <w:spacing w:after="0" w:line="276" w:lineRule="auto"/>
              <w:ind w:left="317" w:hanging="317"/>
              <w:jc w:val="both"/>
              <w:rPr>
                <w:rFonts w:ascii="Aptos" w:hAnsi="Aptos" w:cstheme="minorHAnsi"/>
              </w:rPr>
            </w:pPr>
            <w:r w:rsidRPr="001E5BE8">
              <w:rPr>
                <w:rFonts w:ascii="Aptos" w:hAnsi="Aptos" w:cstheme="minorHAnsi"/>
              </w:rPr>
              <w:t>The committee will consider succession planning for the Corporation and this will be a standing agenda item.</w:t>
            </w:r>
          </w:p>
          <w:p w14:paraId="7EE1300C" w14:textId="77777777" w:rsidR="007D0711" w:rsidRPr="001E5BE8" w:rsidRDefault="007D0711" w:rsidP="007D4538">
            <w:pPr>
              <w:spacing w:after="0" w:line="276" w:lineRule="auto"/>
              <w:ind w:left="317"/>
              <w:jc w:val="both"/>
              <w:rPr>
                <w:rFonts w:ascii="Aptos" w:hAnsi="Aptos" w:cstheme="minorHAnsi"/>
              </w:rPr>
            </w:pPr>
          </w:p>
          <w:p w14:paraId="1FFD26E9" w14:textId="77777777" w:rsidR="007D0711" w:rsidRPr="001E5BE8" w:rsidRDefault="007D0711" w:rsidP="007D4538">
            <w:pPr>
              <w:numPr>
                <w:ilvl w:val="0"/>
                <w:numId w:val="17"/>
              </w:numPr>
              <w:spacing w:after="0" w:line="276" w:lineRule="auto"/>
              <w:ind w:left="317" w:hanging="317"/>
              <w:jc w:val="both"/>
              <w:rPr>
                <w:rFonts w:ascii="Aptos" w:hAnsi="Aptos" w:cstheme="minorHAnsi"/>
              </w:rPr>
            </w:pPr>
            <w:r w:rsidRPr="001E5BE8">
              <w:rPr>
                <w:rFonts w:ascii="Aptos" w:hAnsi="Aptos" w:cstheme="minorHAnsi"/>
              </w:rPr>
              <w:t xml:space="preserve">The committee will support the Corporation in its ongoing review of effective governance, including through the regular review of relevant governance documentation and Chair’s appraisal outcomes. </w:t>
            </w:r>
          </w:p>
          <w:p w14:paraId="4DCA7782" w14:textId="77777777" w:rsidR="007D0711" w:rsidRPr="001E5BE8" w:rsidRDefault="007D0711" w:rsidP="007D4538">
            <w:pPr>
              <w:pStyle w:val="ListParagraph"/>
              <w:spacing w:line="276" w:lineRule="auto"/>
              <w:ind w:left="317" w:hanging="317"/>
              <w:rPr>
                <w:rFonts w:ascii="Aptos" w:hAnsi="Aptos" w:cstheme="minorHAnsi"/>
                <w:sz w:val="22"/>
                <w:szCs w:val="22"/>
              </w:rPr>
            </w:pPr>
          </w:p>
          <w:p w14:paraId="6B579F46" w14:textId="77777777" w:rsidR="007D0711" w:rsidRPr="001E5BE8" w:rsidRDefault="007D0711" w:rsidP="007D4538">
            <w:pPr>
              <w:numPr>
                <w:ilvl w:val="0"/>
                <w:numId w:val="17"/>
              </w:numPr>
              <w:spacing w:after="0" w:line="276" w:lineRule="auto"/>
              <w:ind w:left="317" w:hanging="317"/>
              <w:jc w:val="both"/>
              <w:rPr>
                <w:rFonts w:ascii="Aptos" w:hAnsi="Aptos" w:cstheme="minorHAnsi"/>
              </w:rPr>
            </w:pPr>
            <w:r w:rsidRPr="001E5BE8">
              <w:rPr>
                <w:rFonts w:ascii="Aptos" w:hAnsi="Aptos" w:cstheme="minorHAnsi"/>
              </w:rPr>
              <w:t xml:space="preserve">The committee has delegated authority to consider and agree any governor requests for a leave of absence made in accordance with the Corporation’s Standing Orders. </w:t>
            </w:r>
          </w:p>
          <w:p w14:paraId="1B863399" w14:textId="77777777" w:rsidR="007D0711" w:rsidRPr="001E5BE8" w:rsidRDefault="007D0711" w:rsidP="007D4538">
            <w:pPr>
              <w:pStyle w:val="ListParagraph"/>
              <w:spacing w:line="276" w:lineRule="auto"/>
              <w:rPr>
                <w:rFonts w:ascii="Aptos" w:hAnsi="Aptos" w:cstheme="minorHAnsi"/>
                <w:sz w:val="22"/>
                <w:szCs w:val="22"/>
              </w:rPr>
            </w:pPr>
          </w:p>
          <w:p w14:paraId="06762F1B" w14:textId="77777777" w:rsidR="007D0711" w:rsidRPr="001E5BE8" w:rsidRDefault="007D0711" w:rsidP="007D4538">
            <w:pPr>
              <w:spacing w:after="0" w:line="276" w:lineRule="auto"/>
              <w:jc w:val="both"/>
              <w:rPr>
                <w:rFonts w:ascii="Aptos" w:hAnsi="Aptos" w:cstheme="minorHAnsi"/>
                <w:b/>
              </w:rPr>
            </w:pPr>
            <w:r w:rsidRPr="001E5BE8">
              <w:rPr>
                <w:rFonts w:ascii="Aptos" w:hAnsi="Aptos" w:cstheme="minorHAnsi"/>
                <w:b/>
              </w:rPr>
              <w:t>Employment responsibilities</w:t>
            </w:r>
          </w:p>
          <w:p w14:paraId="7EF9CCF6" w14:textId="77777777" w:rsidR="007D0711" w:rsidRPr="001E5BE8" w:rsidRDefault="007D0711" w:rsidP="007D4538">
            <w:pPr>
              <w:spacing w:after="0" w:line="276" w:lineRule="auto"/>
              <w:jc w:val="both"/>
              <w:rPr>
                <w:rFonts w:ascii="Aptos" w:hAnsi="Aptos" w:cstheme="minorHAnsi"/>
              </w:rPr>
            </w:pPr>
          </w:p>
          <w:p w14:paraId="5038F55F" w14:textId="77777777" w:rsidR="007D0711" w:rsidRPr="001E5BE8" w:rsidRDefault="007D0711" w:rsidP="007D4538">
            <w:pPr>
              <w:pStyle w:val="ListParagraph"/>
              <w:numPr>
                <w:ilvl w:val="0"/>
                <w:numId w:val="17"/>
              </w:numPr>
              <w:spacing w:line="276" w:lineRule="auto"/>
              <w:ind w:left="343" w:hanging="343"/>
              <w:contextualSpacing/>
              <w:jc w:val="both"/>
              <w:rPr>
                <w:rFonts w:ascii="Aptos" w:hAnsi="Aptos" w:cstheme="minorHAnsi"/>
                <w:sz w:val="22"/>
                <w:szCs w:val="22"/>
              </w:rPr>
            </w:pPr>
            <w:r w:rsidRPr="001E5BE8">
              <w:rPr>
                <w:rFonts w:ascii="Aptos" w:hAnsi="Aptos" w:cstheme="minorHAnsi"/>
                <w:sz w:val="22"/>
                <w:szCs w:val="22"/>
              </w:rPr>
              <w:t>The committee will support the Corporation in monitoring progress against Strategic Objective 6, ‘To lead ground-breaking approaches to developing our people, ensuring we attract and develop the best staff talent at the heart of the Etc. offer’ and the People Strategy, including maintaining an overview of staff composition, absence and other relevant data</w:t>
            </w:r>
          </w:p>
          <w:p w14:paraId="342A2F07" w14:textId="77777777" w:rsidR="007D0711" w:rsidRPr="001E5BE8" w:rsidRDefault="007D0711" w:rsidP="007D4538">
            <w:pPr>
              <w:pStyle w:val="ListParagraph"/>
              <w:spacing w:line="276" w:lineRule="auto"/>
              <w:ind w:left="343" w:hanging="343"/>
              <w:jc w:val="both"/>
              <w:rPr>
                <w:rFonts w:ascii="Aptos" w:hAnsi="Aptos" w:cstheme="minorHAnsi"/>
                <w:sz w:val="22"/>
                <w:szCs w:val="22"/>
              </w:rPr>
            </w:pPr>
          </w:p>
          <w:p w14:paraId="515B0080" w14:textId="77777777" w:rsidR="007D0711" w:rsidRPr="001E5BE8" w:rsidRDefault="007D0711" w:rsidP="007D4538">
            <w:pPr>
              <w:pStyle w:val="ListParagraph"/>
              <w:numPr>
                <w:ilvl w:val="0"/>
                <w:numId w:val="17"/>
              </w:numPr>
              <w:spacing w:line="276" w:lineRule="auto"/>
              <w:ind w:left="343" w:hanging="343"/>
              <w:contextualSpacing/>
              <w:jc w:val="both"/>
              <w:rPr>
                <w:rFonts w:ascii="Aptos" w:hAnsi="Aptos" w:cstheme="minorHAnsi"/>
                <w:sz w:val="22"/>
                <w:szCs w:val="22"/>
              </w:rPr>
            </w:pPr>
            <w:r w:rsidRPr="001E5BE8">
              <w:rPr>
                <w:rFonts w:ascii="Aptos" w:hAnsi="Aptos" w:cstheme="minorHAnsi"/>
                <w:sz w:val="22"/>
                <w:szCs w:val="22"/>
              </w:rPr>
              <w:t>The committee will support the Corporation in ensuring compliance with expectations of ‘Managing Public Money’, particularly in relation to ensuring the Etc. is a good employer, with fair and objective staffing processes and procedures. As part of this responsibility, the committee will be responsible for determining the personnel and human resource policies of the Corporation and fulfilling necessary responsibilities under those policies</w:t>
            </w:r>
          </w:p>
          <w:p w14:paraId="2B2F09FD" w14:textId="77777777" w:rsidR="007D0711" w:rsidRPr="001E5BE8" w:rsidRDefault="007D0711" w:rsidP="007D4538">
            <w:pPr>
              <w:pStyle w:val="ListParagraph"/>
              <w:spacing w:line="276" w:lineRule="auto"/>
              <w:rPr>
                <w:rFonts w:ascii="Aptos" w:hAnsi="Aptos" w:cstheme="minorHAnsi"/>
                <w:sz w:val="22"/>
                <w:szCs w:val="22"/>
              </w:rPr>
            </w:pPr>
          </w:p>
          <w:p w14:paraId="469F006F" w14:textId="77777777" w:rsidR="007D0711" w:rsidRPr="001E5BE8" w:rsidRDefault="007D0711" w:rsidP="007D4538">
            <w:pPr>
              <w:pStyle w:val="ListParagraph"/>
              <w:numPr>
                <w:ilvl w:val="0"/>
                <w:numId w:val="17"/>
              </w:numPr>
              <w:spacing w:line="276" w:lineRule="auto"/>
              <w:ind w:left="343" w:hanging="343"/>
              <w:contextualSpacing/>
              <w:jc w:val="both"/>
              <w:rPr>
                <w:rFonts w:ascii="Aptos" w:hAnsi="Aptos" w:cstheme="minorHAnsi"/>
                <w:sz w:val="22"/>
                <w:szCs w:val="22"/>
              </w:rPr>
            </w:pPr>
            <w:r w:rsidRPr="001E5BE8">
              <w:rPr>
                <w:rFonts w:ascii="Aptos" w:hAnsi="Aptos" w:cstheme="minorHAnsi"/>
                <w:sz w:val="22"/>
                <w:szCs w:val="22"/>
              </w:rPr>
              <w:t xml:space="preserve">The committee will be responsible for approving a framework for pay and conditions of service; determining guidelines for annual pay negotiations; and, in line with Managing Public Money, the committee will be responsible for ensuring Treasury approval is sought for any novel or contentious employment matters, including any severance or retention payments </w:t>
            </w:r>
          </w:p>
          <w:p w14:paraId="5CE06DC7" w14:textId="77777777" w:rsidR="007D0711" w:rsidRPr="001E5BE8" w:rsidRDefault="007D0711" w:rsidP="007D4538">
            <w:pPr>
              <w:spacing w:after="0" w:line="276" w:lineRule="auto"/>
              <w:jc w:val="both"/>
              <w:rPr>
                <w:rFonts w:ascii="Aptos" w:hAnsi="Aptos" w:cstheme="minorHAnsi"/>
              </w:rPr>
            </w:pPr>
          </w:p>
          <w:p w14:paraId="28E041C3" w14:textId="77777777" w:rsidR="007D0711" w:rsidRPr="001E5BE8" w:rsidRDefault="007D0711" w:rsidP="007D4538">
            <w:pPr>
              <w:pStyle w:val="ListParagraph"/>
              <w:numPr>
                <w:ilvl w:val="0"/>
                <w:numId w:val="17"/>
              </w:numPr>
              <w:spacing w:line="276" w:lineRule="auto"/>
              <w:ind w:left="343" w:hanging="343"/>
              <w:contextualSpacing/>
              <w:jc w:val="both"/>
              <w:rPr>
                <w:rFonts w:ascii="Aptos" w:hAnsi="Aptos" w:cstheme="minorHAnsi"/>
                <w:sz w:val="22"/>
                <w:szCs w:val="22"/>
              </w:rPr>
            </w:pPr>
            <w:r w:rsidRPr="001E5BE8">
              <w:rPr>
                <w:rFonts w:ascii="Aptos" w:hAnsi="Aptos" w:cstheme="minorHAnsi"/>
                <w:sz w:val="22"/>
                <w:szCs w:val="22"/>
              </w:rPr>
              <w:t>The committee will consider and advise on employment issues of a sensitive, confidential and/or strategically significant nature</w:t>
            </w:r>
          </w:p>
          <w:p w14:paraId="3E47A0D8" w14:textId="77777777" w:rsidR="007D0711" w:rsidRPr="001E5BE8" w:rsidRDefault="007D0711" w:rsidP="007D4538">
            <w:pPr>
              <w:pStyle w:val="ListParagraph"/>
              <w:spacing w:line="276" w:lineRule="auto"/>
              <w:ind w:left="343" w:hanging="343"/>
              <w:rPr>
                <w:rFonts w:ascii="Aptos" w:hAnsi="Aptos" w:cstheme="minorHAnsi"/>
                <w:sz w:val="22"/>
                <w:szCs w:val="22"/>
              </w:rPr>
            </w:pPr>
          </w:p>
          <w:p w14:paraId="5CF2517D" w14:textId="77777777" w:rsidR="007D0711" w:rsidRPr="001E5BE8" w:rsidRDefault="007D0711" w:rsidP="007D4538">
            <w:pPr>
              <w:pStyle w:val="ListParagraph"/>
              <w:numPr>
                <w:ilvl w:val="0"/>
                <w:numId w:val="17"/>
              </w:numPr>
              <w:spacing w:line="276" w:lineRule="auto"/>
              <w:ind w:left="343" w:hanging="343"/>
              <w:contextualSpacing/>
              <w:jc w:val="both"/>
              <w:rPr>
                <w:rFonts w:ascii="Aptos" w:hAnsi="Aptos" w:cstheme="minorHAnsi"/>
                <w:sz w:val="22"/>
                <w:szCs w:val="22"/>
              </w:rPr>
            </w:pPr>
            <w:r w:rsidRPr="001E5BE8">
              <w:rPr>
                <w:rFonts w:ascii="Aptos" w:hAnsi="Aptos" w:cstheme="minorHAnsi"/>
                <w:sz w:val="22"/>
                <w:szCs w:val="22"/>
              </w:rPr>
              <w:t>The committee will agree relevant documentation for publication (e.g. Gender Pay Gap Report)</w:t>
            </w:r>
          </w:p>
          <w:p w14:paraId="572D0C23" w14:textId="77777777" w:rsidR="007D0711" w:rsidRPr="001E5BE8" w:rsidRDefault="007D0711" w:rsidP="007D4538">
            <w:pPr>
              <w:pStyle w:val="ListParagraph"/>
              <w:spacing w:line="276" w:lineRule="auto"/>
              <w:rPr>
                <w:rFonts w:ascii="Aptos" w:hAnsi="Aptos" w:cstheme="minorHAnsi"/>
                <w:sz w:val="22"/>
                <w:szCs w:val="22"/>
              </w:rPr>
            </w:pPr>
          </w:p>
          <w:p w14:paraId="763791D9" w14:textId="3120B594" w:rsidR="007D0711" w:rsidRPr="001E5BE8" w:rsidRDefault="007D0711" w:rsidP="007D4538">
            <w:pPr>
              <w:pStyle w:val="ListParagraph"/>
              <w:numPr>
                <w:ilvl w:val="0"/>
                <w:numId w:val="17"/>
              </w:numPr>
              <w:spacing w:line="276" w:lineRule="auto"/>
              <w:ind w:left="343" w:hanging="343"/>
              <w:contextualSpacing/>
              <w:jc w:val="both"/>
              <w:rPr>
                <w:rFonts w:ascii="Aptos" w:hAnsi="Aptos" w:cstheme="minorHAnsi"/>
                <w:sz w:val="22"/>
                <w:szCs w:val="22"/>
              </w:rPr>
            </w:pPr>
            <w:r w:rsidRPr="001E5BE8">
              <w:rPr>
                <w:rFonts w:ascii="Aptos" w:hAnsi="Aptos" w:cstheme="minorHAnsi"/>
                <w:sz w:val="22"/>
                <w:szCs w:val="22"/>
              </w:rPr>
              <w:t xml:space="preserve">The committee will be responsible for determining, on the advice of the Remuneration Committee and in line with the requirements of HMT guidance for approval of senior pay, the job descriptions, pay and conditions of senior post holders and the </w:t>
            </w:r>
            <w:r w:rsidR="00034C9A">
              <w:rPr>
                <w:rFonts w:ascii="Aptos" w:hAnsi="Aptos" w:cstheme="minorHAnsi"/>
                <w:sz w:val="22"/>
                <w:szCs w:val="22"/>
              </w:rPr>
              <w:t>Group Director of Governance</w:t>
            </w:r>
          </w:p>
          <w:p w14:paraId="4CE32AB1" w14:textId="77777777" w:rsidR="007D0711" w:rsidRPr="001E5BE8" w:rsidRDefault="007D0711" w:rsidP="007D4538">
            <w:pPr>
              <w:spacing w:after="0" w:line="276" w:lineRule="auto"/>
              <w:jc w:val="both"/>
              <w:rPr>
                <w:rFonts w:ascii="Aptos" w:hAnsi="Aptos" w:cstheme="minorHAnsi"/>
              </w:rPr>
            </w:pPr>
          </w:p>
        </w:tc>
      </w:tr>
      <w:tr w:rsidR="007D0711" w:rsidRPr="001E5BE8" w14:paraId="664BA516" w14:textId="77777777" w:rsidTr="00B612B8">
        <w:tc>
          <w:tcPr>
            <w:tcW w:w="1560" w:type="dxa"/>
          </w:tcPr>
          <w:p w14:paraId="3AECD187" w14:textId="77777777" w:rsidR="007D0711" w:rsidRPr="001E5BE8" w:rsidRDefault="007D0711" w:rsidP="007D4538">
            <w:pPr>
              <w:spacing w:after="0" w:line="276" w:lineRule="auto"/>
              <w:rPr>
                <w:rFonts w:ascii="Aptos" w:hAnsi="Aptos" w:cstheme="minorHAnsi"/>
              </w:rPr>
            </w:pPr>
            <w:r w:rsidRPr="001E5BE8">
              <w:rPr>
                <w:rFonts w:ascii="Aptos" w:hAnsi="Aptos" w:cstheme="minorHAnsi"/>
              </w:rPr>
              <w:lastRenderedPageBreak/>
              <w:t>Rules for operation:</w:t>
            </w:r>
          </w:p>
        </w:tc>
        <w:tc>
          <w:tcPr>
            <w:tcW w:w="7371" w:type="dxa"/>
          </w:tcPr>
          <w:p w14:paraId="2A2EF3CC" w14:textId="77777777" w:rsidR="007D0711" w:rsidRPr="001E5BE8" w:rsidRDefault="007D0711" w:rsidP="007D4538">
            <w:pPr>
              <w:spacing w:after="0" w:line="276" w:lineRule="auto"/>
              <w:jc w:val="both"/>
              <w:rPr>
                <w:rFonts w:ascii="Aptos" w:hAnsi="Aptos" w:cstheme="minorHAnsi"/>
              </w:rPr>
            </w:pPr>
            <w:r w:rsidRPr="001E5BE8">
              <w:rPr>
                <w:rFonts w:ascii="Aptos" w:hAnsi="Aptos" w:cstheme="minorHAnsi"/>
              </w:rPr>
              <w:t>See Article 5: Search Committee, Standing Orders Section 13: Appointment of Governors and Standing Orders Section 14: Appointment of External Co-Opted Members</w:t>
            </w:r>
          </w:p>
        </w:tc>
      </w:tr>
    </w:tbl>
    <w:p w14:paraId="350A5248" w14:textId="77777777" w:rsidR="007D0711" w:rsidRPr="001E5BE8" w:rsidRDefault="007D0711" w:rsidP="00562BF9">
      <w:pPr>
        <w:spacing w:after="0"/>
        <w:rPr>
          <w:rFonts w:ascii="Aptos" w:hAnsi="Aptos"/>
          <w:b/>
          <w:bCs/>
          <w:sz w:val="24"/>
          <w:szCs w:val="24"/>
        </w:rPr>
      </w:pPr>
    </w:p>
    <w:sectPr w:rsidR="007D0711" w:rsidRPr="001E5BE8" w:rsidSect="007D0711">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8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580B7A"/>
    <w:multiLevelType w:val="hybridMultilevel"/>
    <w:tmpl w:val="F3EC496E"/>
    <w:lvl w:ilvl="0" w:tplc="0AB042B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A4C6B"/>
    <w:multiLevelType w:val="hybridMultilevel"/>
    <w:tmpl w:val="DAB26112"/>
    <w:lvl w:ilvl="0" w:tplc="E5DE31C6">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B428FD"/>
    <w:multiLevelType w:val="hybridMultilevel"/>
    <w:tmpl w:val="398A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B125D"/>
    <w:multiLevelType w:val="hybridMultilevel"/>
    <w:tmpl w:val="372C0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A1F05"/>
    <w:multiLevelType w:val="hybridMultilevel"/>
    <w:tmpl w:val="E7B6C8D6"/>
    <w:lvl w:ilvl="0" w:tplc="948680C2">
      <w:start w:val="1"/>
      <w:numFmt w:val="lowerRoman"/>
      <w:lvlText w:val="%1)"/>
      <w:lvlJc w:val="left"/>
      <w:pPr>
        <w:tabs>
          <w:tab w:val="num" w:pos="720"/>
        </w:tabs>
        <w:ind w:left="720" w:hanging="720"/>
      </w:pPr>
      <w:rPr>
        <w:rFonts w:hint="default"/>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0D64EC8"/>
    <w:multiLevelType w:val="hybridMultilevel"/>
    <w:tmpl w:val="C714F456"/>
    <w:lvl w:ilvl="0" w:tplc="CB0051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736F42"/>
    <w:multiLevelType w:val="hybridMultilevel"/>
    <w:tmpl w:val="2E2EF3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F3B92"/>
    <w:multiLevelType w:val="hybridMultilevel"/>
    <w:tmpl w:val="FB84BAF2"/>
    <w:lvl w:ilvl="0" w:tplc="72D00C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1E232D"/>
    <w:multiLevelType w:val="hybridMultilevel"/>
    <w:tmpl w:val="005C2C52"/>
    <w:lvl w:ilvl="0" w:tplc="E5DE31C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E72432"/>
    <w:multiLevelType w:val="hybridMultilevel"/>
    <w:tmpl w:val="7192714E"/>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C447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654E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CD6A4B"/>
    <w:multiLevelType w:val="multilevel"/>
    <w:tmpl w:val="FF0C2220"/>
    <w:lvl w:ilvl="0">
      <w:start w:val="2"/>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4" w15:restartNumberingAfterBreak="0">
    <w:nsid w:val="7889016B"/>
    <w:multiLevelType w:val="hybridMultilevel"/>
    <w:tmpl w:val="3D6836D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B496482"/>
    <w:multiLevelType w:val="multilevel"/>
    <w:tmpl w:val="29981B5E"/>
    <w:lvl w:ilvl="0">
      <w:start w:val="3"/>
      <w:numFmt w:val="decimal"/>
      <w:lvlText w:val="%1"/>
      <w:lvlJc w:val="left"/>
      <w:pPr>
        <w:ind w:left="720" w:hanging="360"/>
      </w:pPr>
      <w:rPr>
        <w:rFonts w:hint="default"/>
        <w:b w:val="0"/>
      </w:rPr>
    </w:lvl>
    <w:lvl w:ilvl="1">
      <w:start w:val="1"/>
      <w:numFmt w:val="decimal"/>
      <w:isLgl/>
      <w:lvlText w:val="%1.%2"/>
      <w:lvlJc w:val="left"/>
      <w:pPr>
        <w:ind w:left="153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4050" w:hanging="1440"/>
      </w:pPr>
      <w:rPr>
        <w:rFonts w:hint="default"/>
      </w:rPr>
    </w:lvl>
    <w:lvl w:ilvl="6">
      <w:start w:val="1"/>
      <w:numFmt w:val="decimal"/>
      <w:isLgl/>
      <w:lvlText w:val="%1.%2.%3.%4.%5.%6.%7"/>
      <w:lvlJc w:val="left"/>
      <w:pPr>
        <w:ind w:left="4860" w:hanging="1800"/>
      </w:pPr>
      <w:rPr>
        <w:rFonts w:hint="default"/>
      </w:rPr>
    </w:lvl>
    <w:lvl w:ilvl="7">
      <w:start w:val="1"/>
      <w:numFmt w:val="decimal"/>
      <w:isLgl/>
      <w:lvlText w:val="%1.%2.%3.%4.%5.%6.%7.%8"/>
      <w:lvlJc w:val="left"/>
      <w:pPr>
        <w:ind w:left="5310" w:hanging="1800"/>
      </w:pPr>
      <w:rPr>
        <w:rFonts w:hint="default"/>
      </w:rPr>
    </w:lvl>
    <w:lvl w:ilvl="8">
      <w:start w:val="1"/>
      <w:numFmt w:val="decimal"/>
      <w:isLgl/>
      <w:lvlText w:val="%1.%2.%3.%4.%5.%6.%7.%8.%9"/>
      <w:lvlJc w:val="left"/>
      <w:pPr>
        <w:ind w:left="6120" w:hanging="2160"/>
      </w:pPr>
      <w:rPr>
        <w:rFonts w:hint="default"/>
      </w:rPr>
    </w:lvl>
  </w:abstractNum>
  <w:abstractNum w:abstractNumId="16" w15:restartNumberingAfterBreak="0">
    <w:nsid w:val="7BBC2D8E"/>
    <w:multiLevelType w:val="multilevel"/>
    <w:tmpl w:val="26AE38F0"/>
    <w:lvl w:ilvl="0">
      <w:start w:val="1"/>
      <w:numFmt w:val="decimal"/>
      <w:lvlText w:val="%1"/>
      <w:lvlJc w:val="left"/>
      <w:pPr>
        <w:ind w:left="924" w:hanging="564"/>
      </w:pPr>
      <w:rPr>
        <w:rFonts w:hint="default"/>
      </w:rPr>
    </w:lvl>
    <w:lvl w:ilvl="1">
      <w:start w:val="1"/>
      <w:numFmt w:val="decimal"/>
      <w:isLgl/>
      <w:lvlText w:val="%1.%2"/>
      <w:lvlJc w:val="left"/>
      <w:pPr>
        <w:ind w:left="1311" w:hanging="744"/>
      </w:pPr>
      <w:rPr>
        <w:rFonts w:hint="default"/>
      </w:rPr>
    </w:lvl>
    <w:lvl w:ilvl="2">
      <w:start w:val="1"/>
      <w:numFmt w:val="decimal"/>
      <w:isLgl/>
      <w:lvlText w:val="%1.%2.%3"/>
      <w:lvlJc w:val="left"/>
      <w:pPr>
        <w:ind w:left="1518" w:hanging="744"/>
      </w:pPr>
      <w:rPr>
        <w:rFonts w:hint="default"/>
      </w:rPr>
    </w:lvl>
    <w:lvl w:ilvl="3">
      <w:start w:val="1"/>
      <w:numFmt w:val="decimal"/>
      <w:isLgl/>
      <w:lvlText w:val="%1.%2.%3.%4"/>
      <w:lvlJc w:val="left"/>
      <w:pPr>
        <w:ind w:left="1725" w:hanging="744"/>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7BF71552"/>
    <w:multiLevelType w:val="hybridMultilevel"/>
    <w:tmpl w:val="BC7A0D8A"/>
    <w:lvl w:ilvl="0" w:tplc="FD36B1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3143152">
    <w:abstractNumId w:val="15"/>
  </w:num>
  <w:num w:numId="2" w16cid:durableId="1383745600">
    <w:abstractNumId w:val="5"/>
  </w:num>
  <w:num w:numId="3" w16cid:durableId="25839063">
    <w:abstractNumId w:val="6"/>
  </w:num>
  <w:num w:numId="4" w16cid:durableId="309747636">
    <w:abstractNumId w:val="10"/>
  </w:num>
  <w:num w:numId="5" w16cid:durableId="657804238">
    <w:abstractNumId w:val="1"/>
  </w:num>
  <w:num w:numId="6" w16cid:durableId="284511229">
    <w:abstractNumId w:val="8"/>
  </w:num>
  <w:num w:numId="7" w16cid:durableId="276372087">
    <w:abstractNumId w:val="4"/>
  </w:num>
  <w:num w:numId="8" w16cid:durableId="1044987925">
    <w:abstractNumId w:val="13"/>
  </w:num>
  <w:num w:numId="9" w16cid:durableId="2049989956">
    <w:abstractNumId w:val="7"/>
  </w:num>
  <w:num w:numId="10" w16cid:durableId="403067778">
    <w:abstractNumId w:val="9"/>
  </w:num>
  <w:num w:numId="11" w16cid:durableId="89089512">
    <w:abstractNumId w:val="2"/>
  </w:num>
  <w:num w:numId="12" w16cid:durableId="1383824078">
    <w:abstractNumId w:val="16"/>
  </w:num>
  <w:num w:numId="13" w16cid:durableId="520750914">
    <w:abstractNumId w:val="12"/>
  </w:num>
  <w:num w:numId="14" w16cid:durableId="1124151554">
    <w:abstractNumId w:val="11"/>
  </w:num>
  <w:num w:numId="15" w16cid:durableId="6177907">
    <w:abstractNumId w:val="0"/>
  </w:num>
  <w:num w:numId="16" w16cid:durableId="1475096507">
    <w:abstractNumId w:val="14"/>
  </w:num>
  <w:num w:numId="17" w16cid:durableId="1271350206">
    <w:abstractNumId w:val="17"/>
  </w:num>
  <w:num w:numId="18" w16cid:durableId="1329098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93"/>
    <w:rsid w:val="00034C9A"/>
    <w:rsid w:val="00084961"/>
    <w:rsid w:val="00104F7E"/>
    <w:rsid w:val="00130993"/>
    <w:rsid w:val="00141EF3"/>
    <w:rsid w:val="001919FC"/>
    <w:rsid w:val="001E5BE8"/>
    <w:rsid w:val="00210CE5"/>
    <w:rsid w:val="0021603D"/>
    <w:rsid w:val="00225507"/>
    <w:rsid w:val="00276050"/>
    <w:rsid w:val="00284EE3"/>
    <w:rsid w:val="003C6123"/>
    <w:rsid w:val="00470458"/>
    <w:rsid w:val="004A08F2"/>
    <w:rsid w:val="004D479E"/>
    <w:rsid w:val="004D58E9"/>
    <w:rsid w:val="0050792E"/>
    <w:rsid w:val="00527968"/>
    <w:rsid w:val="00540990"/>
    <w:rsid w:val="0054190E"/>
    <w:rsid w:val="00562BF9"/>
    <w:rsid w:val="00563AD1"/>
    <w:rsid w:val="00596882"/>
    <w:rsid w:val="005B358E"/>
    <w:rsid w:val="005C3D13"/>
    <w:rsid w:val="005F1946"/>
    <w:rsid w:val="006014DB"/>
    <w:rsid w:val="006B64F6"/>
    <w:rsid w:val="006C6501"/>
    <w:rsid w:val="006E7614"/>
    <w:rsid w:val="0074270D"/>
    <w:rsid w:val="00745D8D"/>
    <w:rsid w:val="007717B1"/>
    <w:rsid w:val="00780FD2"/>
    <w:rsid w:val="007D0711"/>
    <w:rsid w:val="007D4538"/>
    <w:rsid w:val="00877A22"/>
    <w:rsid w:val="008A0621"/>
    <w:rsid w:val="008C5997"/>
    <w:rsid w:val="0090331F"/>
    <w:rsid w:val="009F1A2C"/>
    <w:rsid w:val="00A2139F"/>
    <w:rsid w:val="00A30FBC"/>
    <w:rsid w:val="00A86B9B"/>
    <w:rsid w:val="00A90977"/>
    <w:rsid w:val="00AE13BE"/>
    <w:rsid w:val="00B0010D"/>
    <w:rsid w:val="00C1584C"/>
    <w:rsid w:val="00CE4F93"/>
    <w:rsid w:val="00CF4F44"/>
    <w:rsid w:val="00D46BC4"/>
    <w:rsid w:val="00DB507D"/>
    <w:rsid w:val="00E0313A"/>
    <w:rsid w:val="00E24BFB"/>
    <w:rsid w:val="00E75D47"/>
    <w:rsid w:val="00E82AFC"/>
    <w:rsid w:val="00F15722"/>
    <w:rsid w:val="00F2685B"/>
    <w:rsid w:val="00F57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7538"/>
  <w15:chartTrackingRefBased/>
  <w15:docId w15:val="{FBD7B9BC-81EC-4A2C-A2E7-157D35F3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9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0993"/>
    <w:pPr>
      <w:tabs>
        <w:tab w:val="center" w:pos="4513"/>
        <w:tab w:val="right" w:pos="9026"/>
      </w:tabs>
      <w:spacing w:after="0"/>
    </w:pPr>
  </w:style>
  <w:style w:type="character" w:customStyle="1" w:styleId="HeaderChar">
    <w:name w:val="Header Char"/>
    <w:basedOn w:val="DefaultParagraphFont"/>
    <w:link w:val="Header"/>
    <w:rsid w:val="00130993"/>
  </w:style>
  <w:style w:type="paragraph" w:styleId="ListParagraph">
    <w:name w:val="List Paragraph"/>
    <w:basedOn w:val="Normal"/>
    <w:link w:val="ListParagraphChar"/>
    <w:uiPriority w:val="34"/>
    <w:qFormat/>
    <w:rsid w:val="00130993"/>
    <w:pPr>
      <w:spacing w:after="0"/>
      <w:ind w:left="720"/>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86B9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B9B"/>
    <w:rPr>
      <w:rFonts w:ascii="Segoe UI" w:hAnsi="Segoe UI" w:cs="Segoe UI"/>
      <w:sz w:val="18"/>
      <w:szCs w:val="18"/>
    </w:rPr>
  </w:style>
  <w:style w:type="character" w:customStyle="1" w:styleId="ListParagraphChar">
    <w:name w:val="List Paragraph Char"/>
    <w:link w:val="ListParagraph"/>
    <w:uiPriority w:val="34"/>
    <w:locked/>
    <w:rsid w:val="00562BF9"/>
    <w:rPr>
      <w:rFonts w:ascii="Times New Roman" w:eastAsia="Times New Roman" w:hAnsi="Times New Roman" w:cs="Times New Roman"/>
      <w:sz w:val="24"/>
      <w:szCs w:val="24"/>
      <w:lang w:eastAsia="en-GB"/>
    </w:rPr>
  </w:style>
  <w:style w:type="table" w:styleId="TableGrid">
    <w:name w:val="Table Grid"/>
    <w:basedOn w:val="TableNormal"/>
    <w:uiPriority w:val="59"/>
    <w:rsid w:val="00562BF9"/>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5BE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892819-a44a-41ae-a563-e25c4856ab4f">
      <Terms xmlns="http://schemas.microsoft.com/office/infopath/2007/PartnerControls"/>
    </lcf76f155ced4ddcb4097134ff3c332f>
    <TaxCatchAll xmlns="e3ad9946-2755-43c9-8f14-32279eff52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AF017689BF5E4FA60AB34DD0FFD031" ma:contentTypeVersion="16" ma:contentTypeDescription="Create a new document." ma:contentTypeScope="" ma:versionID="5eac8b96c942e2f2c12b1895167bfc9c">
  <xsd:schema xmlns:xsd="http://www.w3.org/2001/XMLSchema" xmlns:xs="http://www.w3.org/2001/XMLSchema" xmlns:p="http://schemas.microsoft.com/office/2006/metadata/properties" xmlns:ns2="96892819-a44a-41ae-a563-e25c4856ab4f" xmlns:ns3="e3ad9946-2755-43c9-8f14-32279eff52bd" targetNamespace="http://schemas.microsoft.com/office/2006/metadata/properties" ma:root="true" ma:fieldsID="95f7cdd1ce2815c13498308e2a5eb79c" ns2:_="" ns3:_="">
    <xsd:import namespace="96892819-a44a-41ae-a563-e25c4856ab4f"/>
    <xsd:import namespace="e3ad9946-2755-43c9-8f14-32279eff52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92819-a44a-41ae-a563-e25c4856a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0ee5a22-69dd-489d-8931-0c325d6f8a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9946-2755-43c9-8f14-32279eff52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f6f1943-0108-4728-a164-7b95ff8dbb73}" ma:internalName="TaxCatchAll" ma:showField="CatchAllData" ma:web="e3ad9946-2755-43c9-8f14-32279eff5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E6F2D-321B-48D0-BE4F-EDB9A042895F}">
  <ds:schemaRefs>
    <ds:schemaRef ds:uri="http://schemas.microsoft.com/sharepoint/v3/contenttype/forms"/>
  </ds:schemaRefs>
</ds:datastoreItem>
</file>

<file path=customXml/itemProps2.xml><?xml version="1.0" encoding="utf-8"?>
<ds:datastoreItem xmlns:ds="http://schemas.openxmlformats.org/officeDocument/2006/customXml" ds:itemID="{F0B184E6-34EC-433C-A59B-F518F0DEC33A}">
  <ds:schemaRefs>
    <ds:schemaRef ds:uri="http://schemas.microsoft.com/office/2006/metadata/properties"/>
    <ds:schemaRef ds:uri="http://schemas.microsoft.com/office/infopath/2007/PartnerControls"/>
    <ds:schemaRef ds:uri="96892819-a44a-41ae-a563-e25c4856ab4f"/>
    <ds:schemaRef ds:uri="e3ad9946-2755-43c9-8f14-32279eff52bd"/>
  </ds:schemaRefs>
</ds:datastoreItem>
</file>

<file path=customXml/itemProps3.xml><?xml version="1.0" encoding="utf-8"?>
<ds:datastoreItem xmlns:ds="http://schemas.openxmlformats.org/officeDocument/2006/customXml" ds:itemID="{ED6802D3-53B4-4A65-88C9-1D87D94C5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92819-a44a-41ae-a563-e25c4856ab4f"/>
    <ds:schemaRef ds:uri="e3ad9946-2755-43c9-8f14-32279eff5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Stockton Riverside College</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Thompson</dc:creator>
  <cp:keywords/>
  <dc:description/>
  <cp:lastModifiedBy>Sarah Thompson</cp:lastModifiedBy>
  <cp:revision>11</cp:revision>
  <dcterms:created xsi:type="dcterms:W3CDTF">2024-09-16T22:07:00Z</dcterms:created>
  <dcterms:modified xsi:type="dcterms:W3CDTF">2025-11-18T12:16:00Z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0x01010051AF017689BF5E4FA60AB34DD0FFD031</vt:lpwstr>
  </property>
  <property fmtid="{D5CDD505-2E9C-101B-9397-08002B2CF9AE}" pid="3" name="MediaServiceImageTags">
    <vt:lpwstr/>
  </property>
  <property fmtid="{D5CDD505-2E9C-101B-9397-08002B2CF9AE}" pid="4" name="MSIP_Label_67e08e62-16ad-4613-967d-21554f0d2219_Enabled">
    <vt:lpwstr>true</vt:lpwstr>
  </property>
  <property fmtid="{D5CDD505-2E9C-101B-9397-08002B2CF9AE}" pid="5" name="MSIP_Label_67e08e62-16ad-4613-967d-21554f0d2219_SetDate">
    <vt:lpwstr>2024-09-16T22:07:37Z</vt:lpwstr>
  </property>
  <property fmtid="{D5CDD505-2E9C-101B-9397-08002B2CF9AE}" pid="6" name="MSIP_Label_67e08e62-16ad-4613-967d-21554f0d2219_Method">
    <vt:lpwstr>Standard</vt:lpwstr>
  </property>
  <property fmtid="{D5CDD505-2E9C-101B-9397-08002B2CF9AE}" pid="7" name="MSIP_Label_67e08e62-16ad-4613-967d-21554f0d2219_Name">
    <vt:lpwstr>defa4170-0d19-0005-0004-bc88714345d2</vt:lpwstr>
  </property>
  <property fmtid="{D5CDD505-2E9C-101B-9397-08002B2CF9AE}" pid="8" name="MSIP_Label_67e08e62-16ad-4613-967d-21554f0d2219_SiteId">
    <vt:lpwstr>cb811789-d752-4ec2-8215-356e22c04d4f</vt:lpwstr>
  </property>
  <property fmtid="{D5CDD505-2E9C-101B-9397-08002B2CF9AE}" pid="9" name="MSIP_Label_67e08e62-16ad-4613-967d-21554f0d2219_ActionId">
    <vt:lpwstr>32b26415-4eb4-40c2-bb3a-c7f279f502cf</vt:lpwstr>
  </property>
  <property fmtid="{D5CDD505-2E9C-101B-9397-08002B2CF9AE}" pid="10" name="MSIP_Label_67e08e62-16ad-4613-967d-21554f0d2219_ContentBits">
    <vt:lpwstr>0</vt:lpwstr>
  </property>
</Properties>
</file>