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9748" w14:textId="2AA40C63" w:rsidR="00194706" w:rsidRPr="003247C6" w:rsidRDefault="00576148" w:rsidP="003247C6">
      <w:pPr>
        <w:spacing w:after="0"/>
        <w:rPr>
          <w:rFonts w:ascii="Aptos" w:hAnsi="Aptos" w:cstheme="minorHAnsi"/>
          <w:b/>
          <w:bCs/>
        </w:rPr>
      </w:pPr>
      <w:r w:rsidRPr="003247C6">
        <w:rPr>
          <w:rFonts w:ascii="Aptos" w:hAnsi="Aptos" w:cstheme="minorHAnsi"/>
          <w:b/>
        </w:rPr>
        <w:t xml:space="preserve">AUDIT </w:t>
      </w:r>
      <w:r w:rsidR="009559C9" w:rsidRPr="003247C6">
        <w:rPr>
          <w:rFonts w:ascii="Aptos" w:hAnsi="Aptos" w:cstheme="minorHAnsi"/>
          <w:b/>
        </w:rPr>
        <w:t xml:space="preserve">AND RISK </w:t>
      </w:r>
      <w:r w:rsidRPr="003247C6">
        <w:rPr>
          <w:rFonts w:ascii="Aptos" w:hAnsi="Aptos" w:cstheme="minorHAnsi"/>
          <w:b/>
        </w:rPr>
        <w:t>COMMITTEE</w:t>
      </w:r>
      <w:r w:rsidRPr="003247C6">
        <w:rPr>
          <w:rFonts w:ascii="Aptos" w:hAnsi="Aptos" w:cstheme="minorHAnsi"/>
          <w:b/>
          <w:bCs/>
        </w:rPr>
        <w:t xml:space="preserve"> </w:t>
      </w:r>
      <w:r w:rsidR="00194706" w:rsidRPr="003247C6">
        <w:rPr>
          <w:rFonts w:ascii="Aptos" w:hAnsi="Aptos" w:cstheme="minorHAnsi"/>
          <w:b/>
          <w:bCs/>
        </w:rPr>
        <w:t>TERMS OF REFERENCE</w:t>
      </w:r>
      <w:r w:rsidR="00C17E60" w:rsidRPr="003247C6">
        <w:rPr>
          <w:rFonts w:ascii="Aptos" w:hAnsi="Aptos" w:cstheme="minorHAnsi"/>
          <w:b/>
          <w:bCs/>
        </w:rPr>
        <w:t xml:space="preserve">, </w:t>
      </w:r>
      <w:r w:rsidR="00992346" w:rsidRPr="003247C6">
        <w:rPr>
          <w:rFonts w:ascii="Aptos" w:hAnsi="Aptos" w:cstheme="minorHAnsi"/>
          <w:b/>
          <w:bCs/>
        </w:rPr>
        <w:t>2025</w:t>
      </w:r>
      <w:r w:rsidR="00C17E60" w:rsidRPr="003247C6">
        <w:rPr>
          <w:rFonts w:ascii="Aptos" w:hAnsi="Aptos" w:cstheme="minorHAnsi"/>
          <w:b/>
          <w:bCs/>
        </w:rPr>
        <w:t>-</w:t>
      </w:r>
      <w:r w:rsidR="00992346" w:rsidRPr="003247C6">
        <w:rPr>
          <w:rFonts w:ascii="Aptos" w:hAnsi="Aptos" w:cstheme="minorHAnsi"/>
          <w:b/>
          <w:bCs/>
        </w:rPr>
        <w:t>26</w:t>
      </w:r>
    </w:p>
    <w:p w14:paraId="5A094A78" w14:textId="77777777" w:rsidR="00194706" w:rsidRPr="003247C6" w:rsidRDefault="00194706" w:rsidP="003247C6">
      <w:pPr>
        <w:spacing w:after="0"/>
        <w:rPr>
          <w:rFonts w:ascii="Aptos" w:hAnsi="Aptos" w:cstheme="minorHAnsi"/>
          <w:b/>
          <w:highlight w:val="yellow"/>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75"/>
      </w:tblGrid>
      <w:tr w:rsidR="00194706" w:rsidRPr="003247C6" w14:paraId="1F3BC8BE" w14:textId="77777777" w:rsidTr="001A5018">
        <w:trPr>
          <w:trHeight w:val="803"/>
        </w:trPr>
        <w:tc>
          <w:tcPr>
            <w:tcW w:w="1809" w:type="dxa"/>
          </w:tcPr>
          <w:p w14:paraId="317AC8F8"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Composition: </w:t>
            </w:r>
          </w:p>
        </w:tc>
        <w:tc>
          <w:tcPr>
            <w:tcW w:w="7375" w:type="dxa"/>
          </w:tcPr>
          <w:p w14:paraId="4E7CA7BC" w14:textId="211231F4"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Minimum of three members</w:t>
            </w:r>
            <w:r w:rsidR="00E613B1" w:rsidRPr="003247C6">
              <w:rPr>
                <w:rFonts w:ascii="Aptos" w:hAnsi="Aptos" w:cstheme="minorHAnsi"/>
                <w:sz w:val="22"/>
                <w:szCs w:val="22"/>
              </w:rPr>
              <w:t>, a majority of whom must be governors</w:t>
            </w:r>
            <w:r w:rsidRPr="003247C6">
              <w:rPr>
                <w:rFonts w:ascii="Aptos" w:hAnsi="Aptos" w:cstheme="minorHAnsi"/>
                <w:sz w:val="22"/>
                <w:szCs w:val="22"/>
              </w:rPr>
              <w:t xml:space="preserve">. In line with the Post 16 Audit Code of Practice, the Corporation Chair and </w:t>
            </w:r>
            <w:r w:rsidR="00434FA0" w:rsidRPr="003247C6">
              <w:rPr>
                <w:rFonts w:ascii="Aptos" w:hAnsi="Aptos" w:cstheme="minorHAnsi"/>
                <w:sz w:val="22"/>
                <w:szCs w:val="22"/>
              </w:rPr>
              <w:t xml:space="preserve">Chief Executive </w:t>
            </w:r>
            <w:r w:rsidRPr="003247C6">
              <w:rPr>
                <w:rFonts w:ascii="Aptos" w:hAnsi="Aptos" w:cstheme="minorHAnsi"/>
                <w:sz w:val="22"/>
                <w:szCs w:val="22"/>
              </w:rPr>
              <w:t>may not serve on the committee. Staff governors may serve on the committee if the Corporation is satisfied that good practice standards of independence and objectivity can be met. The Corporation has a responsibility to maintain the committee’s independence when appointing members and must appoint individuals with an appropriate mix of skills and experience to allow the committee to discharge its duties effectively. No cross membership with Finance</w:t>
            </w:r>
            <w:r w:rsidR="001B6EF7" w:rsidRPr="003247C6">
              <w:rPr>
                <w:rFonts w:ascii="Aptos" w:hAnsi="Aptos" w:cstheme="minorHAnsi"/>
                <w:sz w:val="22"/>
                <w:szCs w:val="22"/>
              </w:rPr>
              <w:t>, Capital and Resources</w:t>
            </w:r>
            <w:r w:rsidRPr="003247C6">
              <w:rPr>
                <w:rFonts w:ascii="Aptos" w:hAnsi="Aptos" w:cstheme="minorHAnsi"/>
                <w:sz w:val="22"/>
                <w:szCs w:val="22"/>
              </w:rPr>
              <w:t xml:space="preserve"> Committee. Collectively the members of the committee must have recent</w:t>
            </w:r>
            <w:r w:rsidR="00A272AB" w:rsidRPr="003247C6">
              <w:rPr>
                <w:rFonts w:ascii="Aptos" w:hAnsi="Aptos" w:cstheme="minorHAnsi"/>
                <w:sz w:val="22"/>
                <w:szCs w:val="22"/>
              </w:rPr>
              <w:t xml:space="preserve">, </w:t>
            </w:r>
            <w:r w:rsidRPr="003247C6">
              <w:rPr>
                <w:rFonts w:ascii="Aptos" w:hAnsi="Aptos" w:cstheme="minorHAnsi"/>
                <w:sz w:val="22"/>
                <w:szCs w:val="22"/>
              </w:rPr>
              <w:t>relevant experience in risk management, finance and assurance</w:t>
            </w:r>
            <w:r w:rsidR="00A272AB" w:rsidRPr="003247C6">
              <w:rPr>
                <w:rFonts w:ascii="Aptos" w:hAnsi="Aptos" w:cstheme="minorHAnsi"/>
                <w:sz w:val="22"/>
                <w:szCs w:val="22"/>
              </w:rPr>
              <w:t>; members’ abilities should reflect the needs of the corporation and extend to expertise in all relevant financial and non-financial areas; and membe</w:t>
            </w:r>
            <w:r w:rsidR="00516D38" w:rsidRPr="003247C6">
              <w:rPr>
                <w:rFonts w:ascii="Aptos" w:hAnsi="Aptos" w:cstheme="minorHAnsi"/>
                <w:sz w:val="22"/>
                <w:szCs w:val="22"/>
              </w:rPr>
              <w:t>r</w:t>
            </w:r>
            <w:r w:rsidR="00A272AB" w:rsidRPr="003247C6">
              <w:rPr>
                <w:rFonts w:ascii="Aptos" w:hAnsi="Aptos" w:cstheme="minorHAnsi"/>
                <w:sz w:val="22"/>
                <w:szCs w:val="22"/>
              </w:rPr>
              <w:t xml:space="preserve">s should be prepared to support, challenge, and warn the board of governors. </w:t>
            </w:r>
            <w:r w:rsidRPr="003247C6">
              <w:rPr>
                <w:rFonts w:ascii="Aptos" w:hAnsi="Aptos" w:cstheme="minorHAnsi"/>
                <w:sz w:val="22"/>
                <w:szCs w:val="22"/>
              </w:rPr>
              <w:t xml:space="preserve">The Committee must not adopt an executive role. </w:t>
            </w:r>
          </w:p>
        </w:tc>
      </w:tr>
      <w:tr w:rsidR="00194706" w:rsidRPr="003247C6" w14:paraId="477AB928" w14:textId="77777777" w:rsidTr="0006339A">
        <w:trPr>
          <w:trHeight w:val="137"/>
        </w:trPr>
        <w:tc>
          <w:tcPr>
            <w:tcW w:w="1809" w:type="dxa"/>
          </w:tcPr>
          <w:p w14:paraId="5390D4A6"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Quorum: </w:t>
            </w:r>
          </w:p>
        </w:tc>
        <w:tc>
          <w:tcPr>
            <w:tcW w:w="7375" w:type="dxa"/>
          </w:tcPr>
          <w:p w14:paraId="763AC3E9"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40% of committee subject to minimum of 3 </w:t>
            </w:r>
          </w:p>
        </w:tc>
      </w:tr>
      <w:tr w:rsidR="00194706" w:rsidRPr="003247C6" w14:paraId="04919F36" w14:textId="77777777" w:rsidTr="001A5018">
        <w:trPr>
          <w:trHeight w:val="404"/>
        </w:trPr>
        <w:tc>
          <w:tcPr>
            <w:tcW w:w="1809" w:type="dxa"/>
          </w:tcPr>
          <w:p w14:paraId="4A1E0295"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Attendance</w:t>
            </w:r>
          </w:p>
        </w:tc>
        <w:tc>
          <w:tcPr>
            <w:tcW w:w="7375" w:type="dxa"/>
          </w:tcPr>
          <w:p w14:paraId="7C55D9CE" w14:textId="1A98DE20"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The </w:t>
            </w:r>
            <w:r w:rsidR="0006339A" w:rsidRPr="003247C6">
              <w:rPr>
                <w:rFonts w:ascii="Aptos" w:hAnsi="Aptos" w:cstheme="minorHAnsi"/>
                <w:sz w:val="22"/>
                <w:szCs w:val="22"/>
              </w:rPr>
              <w:t xml:space="preserve">Corporation </w:t>
            </w:r>
            <w:r w:rsidRPr="003247C6">
              <w:rPr>
                <w:rFonts w:ascii="Aptos" w:hAnsi="Aptos" w:cstheme="minorHAnsi"/>
                <w:sz w:val="22"/>
                <w:szCs w:val="22"/>
              </w:rPr>
              <w:t xml:space="preserve">attendance target is </w:t>
            </w:r>
            <w:r w:rsidR="0006339A" w:rsidRPr="003247C6">
              <w:rPr>
                <w:rFonts w:ascii="Aptos" w:hAnsi="Aptos" w:cstheme="minorHAnsi"/>
                <w:sz w:val="22"/>
                <w:szCs w:val="22"/>
              </w:rPr>
              <w:t>80</w:t>
            </w:r>
            <w:r w:rsidRPr="003247C6">
              <w:rPr>
                <w:rFonts w:ascii="Aptos" w:hAnsi="Aptos" w:cstheme="minorHAnsi"/>
                <w:sz w:val="22"/>
                <w:szCs w:val="22"/>
              </w:rPr>
              <w:t>%. Committee members are therefore expected to attend</w:t>
            </w:r>
            <w:r w:rsidR="00CA471E" w:rsidRPr="003247C6">
              <w:rPr>
                <w:rFonts w:ascii="Aptos" w:hAnsi="Aptos" w:cstheme="minorHAnsi"/>
                <w:sz w:val="22"/>
                <w:szCs w:val="22"/>
              </w:rPr>
              <w:t xml:space="preserve"> </w:t>
            </w:r>
            <w:r w:rsidR="0006339A" w:rsidRPr="003247C6">
              <w:rPr>
                <w:rFonts w:ascii="Aptos" w:hAnsi="Aptos" w:cstheme="minorHAnsi"/>
                <w:sz w:val="22"/>
                <w:szCs w:val="22"/>
              </w:rPr>
              <w:t xml:space="preserve">all </w:t>
            </w:r>
            <w:r w:rsidRPr="003247C6">
              <w:rPr>
                <w:rFonts w:ascii="Aptos" w:hAnsi="Aptos" w:cstheme="minorHAnsi"/>
                <w:sz w:val="22"/>
                <w:szCs w:val="22"/>
              </w:rPr>
              <w:t xml:space="preserve">four meetings scheduled in </w:t>
            </w:r>
            <w:r w:rsidR="00992346" w:rsidRPr="003247C6">
              <w:rPr>
                <w:rFonts w:ascii="Aptos" w:hAnsi="Aptos" w:cstheme="minorHAnsi"/>
                <w:sz w:val="22"/>
                <w:szCs w:val="22"/>
              </w:rPr>
              <w:t>2025</w:t>
            </w:r>
            <w:r w:rsidR="00534A05" w:rsidRPr="003247C6">
              <w:rPr>
                <w:rFonts w:ascii="Aptos" w:hAnsi="Aptos" w:cstheme="minorHAnsi"/>
                <w:sz w:val="22"/>
                <w:szCs w:val="22"/>
              </w:rPr>
              <w:t>-</w:t>
            </w:r>
            <w:r w:rsidR="00992346" w:rsidRPr="003247C6">
              <w:rPr>
                <w:rFonts w:ascii="Aptos" w:hAnsi="Aptos" w:cstheme="minorHAnsi"/>
                <w:sz w:val="22"/>
                <w:szCs w:val="22"/>
              </w:rPr>
              <w:t>26</w:t>
            </w:r>
          </w:p>
        </w:tc>
      </w:tr>
      <w:tr w:rsidR="00194706" w:rsidRPr="003247C6" w14:paraId="7752E150" w14:textId="77777777" w:rsidTr="001A5018">
        <w:trPr>
          <w:trHeight w:val="404"/>
        </w:trPr>
        <w:tc>
          <w:tcPr>
            <w:tcW w:w="1809" w:type="dxa"/>
          </w:tcPr>
          <w:p w14:paraId="61959955"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No of meetings per year </w:t>
            </w:r>
          </w:p>
        </w:tc>
        <w:tc>
          <w:tcPr>
            <w:tcW w:w="7375" w:type="dxa"/>
          </w:tcPr>
          <w:p w14:paraId="76A08ACB"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Minimum 4 </w:t>
            </w:r>
          </w:p>
          <w:p w14:paraId="43282CFE" w14:textId="6181D8ED" w:rsidR="00C12371" w:rsidRPr="003247C6" w:rsidRDefault="00C12371" w:rsidP="003247C6">
            <w:pPr>
              <w:pStyle w:val="Default"/>
              <w:rPr>
                <w:rFonts w:ascii="Aptos" w:hAnsi="Aptos" w:cstheme="minorHAnsi"/>
                <w:sz w:val="22"/>
                <w:szCs w:val="22"/>
              </w:rPr>
            </w:pPr>
            <w:r w:rsidRPr="003247C6">
              <w:rPr>
                <w:rFonts w:ascii="Aptos" w:hAnsi="Aptos" w:cstheme="minorHAnsi"/>
                <w:sz w:val="22"/>
                <w:szCs w:val="22"/>
              </w:rPr>
              <w:t>N.B. Where 3 meetings are not held, an explanation (such as when it was not possible to achieve a quorum) </w:t>
            </w:r>
            <w:r w:rsidRPr="003247C6">
              <w:rPr>
                <w:rFonts w:ascii="Aptos" w:hAnsi="Aptos" w:cstheme="minorHAnsi"/>
                <w:b/>
                <w:bCs/>
                <w:sz w:val="22"/>
                <w:szCs w:val="22"/>
              </w:rPr>
              <w:t>must</w:t>
            </w:r>
            <w:r w:rsidRPr="003247C6">
              <w:rPr>
                <w:rFonts w:ascii="Aptos" w:hAnsi="Aptos" w:cstheme="minorHAnsi"/>
                <w:sz w:val="22"/>
                <w:szCs w:val="22"/>
              </w:rPr>
              <w:t> be provided within the Audit and Risk Committee’s annual report. </w:t>
            </w:r>
          </w:p>
        </w:tc>
      </w:tr>
      <w:tr w:rsidR="00194706" w:rsidRPr="003247C6" w14:paraId="240ED38B" w14:textId="77777777" w:rsidTr="001A5018">
        <w:trPr>
          <w:trHeight w:val="537"/>
        </w:trPr>
        <w:tc>
          <w:tcPr>
            <w:tcW w:w="1809" w:type="dxa"/>
          </w:tcPr>
          <w:p w14:paraId="419AC07C"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Chair: </w:t>
            </w:r>
          </w:p>
        </w:tc>
        <w:tc>
          <w:tcPr>
            <w:tcW w:w="7375" w:type="dxa"/>
          </w:tcPr>
          <w:p w14:paraId="216B14EF" w14:textId="22EB1F99"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Selected by committee, reviewed annually and may not be chaired by Chair of Corporation, </w:t>
            </w:r>
            <w:r w:rsidR="0006339A" w:rsidRPr="003247C6">
              <w:rPr>
                <w:rFonts w:ascii="Aptos" w:hAnsi="Aptos" w:cstheme="minorHAnsi"/>
                <w:sz w:val="22"/>
                <w:szCs w:val="22"/>
              </w:rPr>
              <w:t>Chief Executive</w:t>
            </w:r>
            <w:r w:rsidRPr="003247C6">
              <w:rPr>
                <w:rFonts w:ascii="Aptos" w:hAnsi="Aptos" w:cstheme="minorHAnsi"/>
                <w:sz w:val="22"/>
                <w:szCs w:val="22"/>
              </w:rPr>
              <w:t xml:space="preserve">, staff or external co-opted member </w:t>
            </w:r>
          </w:p>
        </w:tc>
      </w:tr>
      <w:tr w:rsidR="00194706" w:rsidRPr="003247C6" w14:paraId="39214B85" w14:textId="77777777" w:rsidTr="001A5018">
        <w:trPr>
          <w:trHeight w:val="271"/>
        </w:trPr>
        <w:tc>
          <w:tcPr>
            <w:tcW w:w="1809" w:type="dxa"/>
          </w:tcPr>
          <w:p w14:paraId="67D6303E"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Public access to meetings: </w:t>
            </w:r>
          </w:p>
        </w:tc>
        <w:tc>
          <w:tcPr>
            <w:tcW w:w="7375" w:type="dxa"/>
          </w:tcPr>
          <w:p w14:paraId="1F05B5EF"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By chair’s invitation, with members’ approval - see Standing Orders Section 12 </w:t>
            </w:r>
          </w:p>
        </w:tc>
      </w:tr>
      <w:tr w:rsidR="00194706" w:rsidRPr="003247C6" w14:paraId="3E2CBEEF" w14:textId="77777777" w:rsidTr="001A5018">
        <w:trPr>
          <w:trHeight w:val="271"/>
        </w:trPr>
        <w:tc>
          <w:tcPr>
            <w:tcW w:w="1809" w:type="dxa"/>
          </w:tcPr>
          <w:p w14:paraId="4D5B01E9"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Conduct of meetings: </w:t>
            </w:r>
          </w:p>
        </w:tc>
        <w:tc>
          <w:tcPr>
            <w:tcW w:w="7375" w:type="dxa"/>
          </w:tcPr>
          <w:p w14:paraId="37652442"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See Standing Orders Section 5 </w:t>
            </w:r>
          </w:p>
        </w:tc>
      </w:tr>
      <w:tr w:rsidR="00194706" w:rsidRPr="003247C6" w14:paraId="0D1CA997" w14:textId="77777777" w:rsidTr="001A5018">
        <w:trPr>
          <w:trHeight w:val="137"/>
        </w:trPr>
        <w:tc>
          <w:tcPr>
            <w:tcW w:w="1809" w:type="dxa"/>
          </w:tcPr>
          <w:p w14:paraId="55A5B130"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Minutes: </w:t>
            </w:r>
          </w:p>
        </w:tc>
        <w:tc>
          <w:tcPr>
            <w:tcW w:w="7375" w:type="dxa"/>
          </w:tcPr>
          <w:p w14:paraId="508B5A86"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Approval, see Standing Orders Section 4 </w:t>
            </w:r>
          </w:p>
        </w:tc>
      </w:tr>
      <w:tr w:rsidR="00194706" w:rsidRPr="003247C6" w14:paraId="0DD52EBC" w14:textId="77777777" w:rsidTr="001A5018">
        <w:trPr>
          <w:trHeight w:val="137"/>
        </w:trPr>
        <w:tc>
          <w:tcPr>
            <w:tcW w:w="1809" w:type="dxa"/>
          </w:tcPr>
          <w:p w14:paraId="1FA2B058"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Minutes: </w:t>
            </w:r>
          </w:p>
        </w:tc>
        <w:tc>
          <w:tcPr>
            <w:tcW w:w="7375" w:type="dxa"/>
          </w:tcPr>
          <w:p w14:paraId="3F53D312"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Circulation/publication see Standing Orders Section 10 </w:t>
            </w:r>
          </w:p>
        </w:tc>
      </w:tr>
      <w:tr w:rsidR="00194706" w:rsidRPr="003247C6" w14:paraId="39B3451D" w14:textId="77777777" w:rsidTr="001A5018">
        <w:trPr>
          <w:trHeight w:val="760"/>
        </w:trPr>
        <w:tc>
          <w:tcPr>
            <w:tcW w:w="1809" w:type="dxa"/>
          </w:tcPr>
          <w:p w14:paraId="466EA9EE"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In attendance: </w:t>
            </w:r>
          </w:p>
        </w:tc>
        <w:tc>
          <w:tcPr>
            <w:tcW w:w="7375" w:type="dxa"/>
          </w:tcPr>
          <w:p w14:paraId="1E79DBD1" w14:textId="1905B9B6" w:rsidR="00194706" w:rsidRPr="003247C6" w:rsidRDefault="0006339A" w:rsidP="003247C6">
            <w:pPr>
              <w:pStyle w:val="Default"/>
              <w:rPr>
                <w:rFonts w:ascii="Aptos" w:hAnsi="Aptos" w:cstheme="minorHAnsi"/>
                <w:sz w:val="22"/>
                <w:szCs w:val="22"/>
              </w:rPr>
            </w:pPr>
            <w:r w:rsidRPr="003247C6">
              <w:rPr>
                <w:rFonts w:ascii="Aptos" w:hAnsi="Aptos" w:cstheme="minorHAnsi"/>
                <w:sz w:val="22"/>
                <w:szCs w:val="22"/>
              </w:rPr>
              <w:t>Chief Financial Officer</w:t>
            </w:r>
            <w:r w:rsidR="00194706" w:rsidRPr="003247C6">
              <w:rPr>
                <w:rFonts w:ascii="Aptos" w:hAnsi="Aptos" w:cstheme="minorHAnsi"/>
                <w:sz w:val="22"/>
                <w:szCs w:val="22"/>
              </w:rPr>
              <w:t xml:space="preserve"> </w:t>
            </w:r>
            <w:r w:rsidR="00C12371" w:rsidRPr="003247C6">
              <w:rPr>
                <w:rFonts w:ascii="Aptos" w:hAnsi="Aptos" w:cstheme="minorHAnsi"/>
                <w:sz w:val="22"/>
                <w:szCs w:val="22"/>
              </w:rPr>
              <w:t>(by invitation from the committee)</w:t>
            </w:r>
          </w:p>
          <w:p w14:paraId="43F297EC" w14:textId="3BA56134" w:rsidR="00194706" w:rsidRPr="003247C6" w:rsidRDefault="0006339A" w:rsidP="003247C6">
            <w:pPr>
              <w:pStyle w:val="Default"/>
              <w:rPr>
                <w:rFonts w:ascii="Aptos" w:hAnsi="Aptos" w:cstheme="minorHAnsi"/>
                <w:sz w:val="22"/>
                <w:szCs w:val="22"/>
              </w:rPr>
            </w:pPr>
            <w:r w:rsidRPr="003247C6">
              <w:rPr>
                <w:rFonts w:ascii="Aptos" w:hAnsi="Aptos" w:cstheme="minorHAnsi"/>
                <w:sz w:val="22"/>
                <w:szCs w:val="22"/>
              </w:rPr>
              <w:t xml:space="preserve">Chief Operating Officer </w:t>
            </w:r>
            <w:r w:rsidR="00C12371" w:rsidRPr="003247C6">
              <w:rPr>
                <w:rFonts w:ascii="Aptos" w:hAnsi="Aptos" w:cstheme="minorHAnsi"/>
                <w:sz w:val="22"/>
                <w:szCs w:val="22"/>
              </w:rPr>
              <w:t>(by invitation from the committee)</w:t>
            </w:r>
          </w:p>
          <w:p w14:paraId="4CBB1F03" w14:textId="758E2A0B"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Chief Executive and Group Principal (by invitation from the </w:t>
            </w:r>
            <w:r w:rsidR="00C12371" w:rsidRPr="003247C6">
              <w:rPr>
                <w:rFonts w:ascii="Aptos" w:hAnsi="Aptos" w:cstheme="minorHAnsi"/>
                <w:sz w:val="22"/>
                <w:szCs w:val="22"/>
              </w:rPr>
              <w:t>committee</w:t>
            </w:r>
            <w:r w:rsidRPr="003247C6">
              <w:rPr>
                <w:rFonts w:ascii="Aptos" w:hAnsi="Aptos" w:cstheme="minorHAnsi"/>
                <w:sz w:val="22"/>
                <w:szCs w:val="22"/>
              </w:rPr>
              <w:t>)</w:t>
            </w:r>
          </w:p>
          <w:p w14:paraId="41A18D9B"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Representative of Internal Audit Service </w:t>
            </w:r>
          </w:p>
          <w:p w14:paraId="6DC25324"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Representative of External Auditors </w:t>
            </w:r>
          </w:p>
          <w:p w14:paraId="52FC7221"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t xml:space="preserve">Other members of staff may be called upon to attend at chair’s discretion </w:t>
            </w:r>
          </w:p>
        </w:tc>
      </w:tr>
      <w:tr w:rsidR="00536ECB" w:rsidRPr="003247C6" w14:paraId="1B6823E9" w14:textId="77777777" w:rsidTr="001A5018">
        <w:trPr>
          <w:trHeight w:val="760"/>
        </w:trPr>
        <w:tc>
          <w:tcPr>
            <w:tcW w:w="1809" w:type="dxa"/>
          </w:tcPr>
          <w:p w14:paraId="79DB4562" w14:textId="06D5A599" w:rsidR="00536ECB" w:rsidRPr="003247C6" w:rsidRDefault="00536ECB" w:rsidP="003247C6">
            <w:pPr>
              <w:pStyle w:val="Default"/>
              <w:rPr>
                <w:rFonts w:ascii="Aptos" w:hAnsi="Aptos" w:cstheme="minorHAnsi"/>
                <w:sz w:val="22"/>
                <w:szCs w:val="22"/>
              </w:rPr>
            </w:pPr>
            <w:r w:rsidRPr="003247C6">
              <w:rPr>
                <w:rFonts w:ascii="Aptos" w:hAnsi="Aptos" w:cstheme="minorHAnsi"/>
                <w:sz w:val="22"/>
                <w:szCs w:val="22"/>
              </w:rPr>
              <w:t>Committee purpose</w:t>
            </w:r>
          </w:p>
        </w:tc>
        <w:tc>
          <w:tcPr>
            <w:tcW w:w="7375" w:type="dxa"/>
          </w:tcPr>
          <w:p w14:paraId="1DE04048" w14:textId="550AF27D" w:rsidR="00A33521" w:rsidRPr="003247C6" w:rsidRDefault="00A33521" w:rsidP="003247C6">
            <w:pPr>
              <w:pStyle w:val="Default"/>
              <w:rPr>
                <w:rFonts w:ascii="Aptos" w:hAnsi="Aptos" w:cstheme="minorHAnsi"/>
                <w:sz w:val="22"/>
                <w:szCs w:val="22"/>
              </w:rPr>
            </w:pPr>
            <w:r w:rsidRPr="003247C6">
              <w:rPr>
                <w:rFonts w:ascii="Aptos" w:hAnsi="Aptos" w:cstheme="minorHAnsi"/>
                <w:sz w:val="22"/>
                <w:szCs w:val="22"/>
              </w:rPr>
              <w:t xml:space="preserve">The Corporation is required to establish an </w:t>
            </w:r>
            <w:r w:rsidR="00536ECB" w:rsidRPr="003247C6">
              <w:rPr>
                <w:rFonts w:ascii="Aptos" w:hAnsi="Aptos" w:cstheme="minorHAnsi"/>
                <w:sz w:val="22"/>
                <w:szCs w:val="22"/>
              </w:rPr>
              <w:t xml:space="preserve">Audit Committee </w:t>
            </w:r>
            <w:r w:rsidRPr="003247C6">
              <w:rPr>
                <w:rFonts w:ascii="Aptos" w:hAnsi="Aptos" w:cstheme="minorHAnsi"/>
                <w:sz w:val="22"/>
                <w:szCs w:val="22"/>
              </w:rPr>
              <w:t xml:space="preserve">in line with the </w:t>
            </w:r>
            <w:r w:rsidR="00F80516" w:rsidRPr="003247C6">
              <w:rPr>
                <w:rFonts w:ascii="Aptos" w:hAnsi="Aptos" w:cstheme="minorHAnsi"/>
                <w:sz w:val="22"/>
                <w:szCs w:val="22"/>
              </w:rPr>
              <w:t xml:space="preserve">Accountability </w:t>
            </w:r>
            <w:r w:rsidR="00A91B71" w:rsidRPr="003247C6">
              <w:rPr>
                <w:rFonts w:ascii="Aptos" w:hAnsi="Aptos" w:cstheme="minorHAnsi"/>
                <w:sz w:val="22"/>
                <w:szCs w:val="22"/>
              </w:rPr>
              <w:t xml:space="preserve">Agreement </w:t>
            </w:r>
            <w:r w:rsidRPr="003247C6">
              <w:rPr>
                <w:rFonts w:ascii="Aptos" w:hAnsi="Aptos" w:cstheme="minorHAnsi"/>
                <w:sz w:val="22"/>
                <w:szCs w:val="22"/>
              </w:rPr>
              <w:t xml:space="preserve">and the </w:t>
            </w:r>
            <w:r w:rsidR="00A91B71" w:rsidRPr="003247C6">
              <w:rPr>
                <w:rFonts w:ascii="Aptos" w:hAnsi="Aptos" w:cstheme="minorHAnsi"/>
                <w:sz w:val="22"/>
                <w:szCs w:val="22"/>
              </w:rPr>
              <w:t>College Financial Handbook</w:t>
            </w:r>
            <w:r w:rsidRPr="003247C6">
              <w:rPr>
                <w:rFonts w:ascii="Aptos" w:hAnsi="Aptos" w:cstheme="minorHAnsi"/>
                <w:sz w:val="22"/>
                <w:szCs w:val="22"/>
              </w:rPr>
              <w:t xml:space="preserve">. </w:t>
            </w:r>
          </w:p>
          <w:p w14:paraId="51B2D6C6" w14:textId="77777777" w:rsidR="009D4F6D" w:rsidRPr="003247C6" w:rsidRDefault="00A33521" w:rsidP="003247C6">
            <w:pPr>
              <w:pStyle w:val="Default"/>
              <w:rPr>
                <w:rFonts w:ascii="Aptos" w:hAnsi="Aptos" w:cstheme="minorHAnsi"/>
                <w:sz w:val="22"/>
                <w:szCs w:val="22"/>
              </w:rPr>
            </w:pPr>
            <w:r w:rsidRPr="003247C6">
              <w:rPr>
                <w:rFonts w:ascii="Aptos" w:hAnsi="Aptos" w:cstheme="minorHAnsi"/>
                <w:sz w:val="22"/>
                <w:szCs w:val="22"/>
              </w:rPr>
              <w:t xml:space="preserve">The Audit </w:t>
            </w:r>
            <w:r w:rsidR="00A91B71" w:rsidRPr="003247C6">
              <w:rPr>
                <w:rFonts w:ascii="Aptos" w:hAnsi="Aptos" w:cstheme="minorHAnsi"/>
                <w:sz w:val="22"/>
                <w:szCs w:val="22"/>
              </w:rPr>
              <w:t xml:space="preserve">and Risk </w:t>
            </w:r>
            <w:r w:rsidRPr="003247C6">
              <w:rPr>
                <w:rFonts w:ascii="Aptos" w:hAnsi="Aptos" w:cstheme="minorHAnsi"/>
                <w:sz w:val="22"/>
                <w:szCs w:val="22"/>
              </w:rPr>
              <w:t>Committee</w:t>
            </w:r>
            <w:r w:rsidR="009D4F6D" w:rsidRPr="003247C6">
              <w:rPr>
                <w:rFonts w:ascii="Aptos" w:hAnsi="Aptos" w:cstheme="minorHAnsi"/>
                <w:sz w:val="22"/>
                <w:szCs w:val="22"/>
              </w:rPr>
              <w:t xml:space="preserve"> </w:t>
            </w:r>
            <w:proofErr w:type="gramStart"/>
            <w:r w:rsidR="009D4F6D" w:rsidRPr="003247C6">
              <w:rPr>
                <w:rFonts w:ascii="Aptos" w:hAnsi="Aptos" w:cstheme="minorHAnsi"/>
                <w:sz w:val="22"/>
                <w:szCs w:val="22"/>
              </w:rPr>
              <w:t>provides</w:t>
            </w:r>
            <w:proofErr w:type="gramEnd"/>
            <w:r w:rsidR="009D4F6D" w:rsidRPr="003247C6">
              <w:rPr>
                <w:rFonts w:ascii="Aptos" w:hAnsi="Aptos" w:cstheme="minorHAnsi"/>
                <w:sz w:val="22"/>
                <w:szCs w:val="22"/>
              </w:rPr>
              <w:t xml:space="preserve"> independent assurance to the board that its financial and non-financial controls are operating effectively by means </w:t>
            </w:r>
            <w:proofErr w:type="gramStart"/>
            <w:r w:rsidR="009D4F6D" w:rsidRPr="003247C6">
              <w:rPr>
                <w:rFonts w:ascii="Aptos" w:hAnsi="Aptos" w:cstheme="minorHAnsi"/>
                <w:sz w:val="22"/>
                <w:szCs w:val="22"/>
              </w:rPr>
              <w:t>of:</w:t>
            </w:r>
            <w:proofErr w:type="gramEnd"/>
            <w:r w:rsidR="009D4F6D" w:rsidRPr="003247C6">
              <w:rPr>
                <w:rFonts w:ascii="Aptos" w:hAnsi="Aptos" w:cstheme="minorHAnsi"/>
                <w:sz w:val="22"/>
                <w:szCs w:val="22"/>
              </w:rPr>
              <w:t xml:space="preserve"> overseeing the internal control environment; overseeing external audit; oversight of counter-fraud measures; reporting and advising to the Department for Education and the FE Corporation. </w:t>
            </w:r>
          </w:p>
          <w:p w14:paraId="0D3770DA" w14:textId="0D251B32" w:rsidR="00CC6428" w:rsidRPr="00F61437" w:rsidRDefault="00536ECB" w:rsidP="003247C6">
            <w:pPr>
              <w:pStyle w:val="Default"/>
              <w:jc w:val="both"/>
              <w:rPr>
                <w:rFonts w:ascii="Aptos" w:hAnsi="Aptos" w:cstheme="minorHAnsi"/>
                <w:sz w:val="22"/>
                <w:szCs w:val="22"/>
              </w:rPr>
            </w:pPr>
            <w:r w:rsidRPr="003247C6">
              <w:rPr>
                <w:rFonts w:ascii="Aptos" w:hAnsi="Aptos" w:cstheme="minorHAnsi"/>
                <w:sz w:val="22"/>
                <w:szCs w:val="22"/>
              </w:rPr>
              <w:t xml:space="preserve">The committee will </w:t>
            </w:r>
            <w:proofErr w:type="gramStart"/>
            <w:r w:rsidRPr="003247C6">
              <w:rPr>
                <w:rFonts w:ascii="Aptos" w:hAnsi="Aptos" w:cstheme="minorHAnsi"/>
                <w:sz w:val="22"/>
                <w:szCs w:val="22"/>
              </w:rPr>
              <w:t>take into account</w:t>
            </w:r>
            <w:proofErr w:type="gramEnd"/>
            <w:r w:rsidRPr="003247C6">
              <w:rPr>
                <w:rFonts w:ascii="Aptos" w:hAnsi="Aptos" w:cstheme="minorHAnsi"/>
                <w:sz w:val="22"/>
                <w:szCs w:val="22"/>
              </w:rPr>
              <w:t xml:space="preserve"> good practice guidance in relation to Audit Committees, including the </w:t>
            </w:r>
            <w:r w:rsidR="009116C4" w:rsidRPr="003247C6">
              <w:rPr>
                <w:rFonts w:ascii="Aptos" w:hAnsi="Aptos" w:cstheme="minorHAnsi"/>
                <w:sz w:val="22"/>
                <w:szCs w:val="22"/>
              </w:rPr>
              <w:t xml:space="preserve">published </w:t>
            </w:r>
            <w:r w:rsidRPr="003247C6">
              <w:rPr>
                <w:rFonts w:ascii="Aptos" w:hAnsi="Aptos" w:cstheme="minorHAnsi"/>
                <w:sz w:val="22"/>
                <w:szCs w:val="22"/>
              </w:rPr>
              <w:t>guidance on the scope of work of audit committees and internal auditors in college corporations.</w:t>
            </w:r>
            <w:r w:rsidR="001F170E" w:rsidRPr="003247C6">
              <w:rPr>
                <w:rFonts w:ascii="Aptos" w:hAnsi="Aptos" w:cstheme="minorHAnsi"/>
                <w:sz w:val="22"/>
                <w:szCs w:val="22"/>
              </w:rPr>
              <w:t xml:space="preserve"> </w:t>
            </w:r>
            <w:r w:rsidRPr="003247C6">
              <w:rPr>
                <w:rFonts w:ascii="Aptos" w:hAnsi="Aptos" w:cstheme="minorHAnsi"/>
                <w:sz w:val="22"/>
                <w:szCs w:val="22"/>
              </w:rPr>
              <w:t xml:space="preserve">The Audit Committee has </w:t>
            </w:r>
            <w:r w:rsidR="00A272AB" w:rsidRPr="003247C6">
              <w:rPr>
                <w:rFonts w:ascii="Aptos" w:hAnsi="Aptos" w:cstheme="minorHAnsi"/>
                <w:sz w:val="22"/>
                <w:szCs w:val="22"/>
              </w:rPr>
              <w:t xml:space="preserve">the right </w:t>
            </w:r>
            <w:r w:rsidR="00DA0819" w:rsidRPr="00F61437">
              <w:rPr>
                <w:rFonts w:ascii="Aptos" w:hAnsi="Aptos" w:cstheme="minorHAnsi"/>
                <w:sz w:val="22"/>
                <w:szCs w:val="22"/>
              </w:rPr>
              <w:t xml:space="preserve">of access and scrutiny of all information and activities it considers necessary to fulfil </w:t>
            </w:r>
            <w:proofErr w:type="gramStart"/>
            <w:r w:rsidR="00DA0819" w:rsidRPr="00F61437">
              <w:rPr>
                <w:rFonts w:ascii="Aptos" w:hAnsi="Aptos" w:cstheme="minorHAnsi"/>
                <w:sz w:val="22"/>
                <w:szCs w:val="22"/>
              </w:rPr>
              <w:t>its</w:t>
            </w:r>
            <w:proofErr w:type="gramEnd"/>
            <w:r w:rsidR="00DA0819" w:rsidRPr="00F61437">
              <w:rPr>
                <w:rFonts w:ascii="Aptos" w:hAnsi="Aptos" w:cstheme="minorHAnsi"/>
                <w:sz w:val="22"/>
                <w:szCs w:val="22"/>
              </w:rPr>
              <w:t xml:space="preserve"> </w:t>
            </w:r>
            <w:proofErr w:type="spellStart"/>
            <w:r w:rsidR="00DA0819" w:rsidRPr="00F61437">
              <w:rPr>
                <w:rFonts w:ascii="Aptos" w:hAnsi="Aptos" w:cstheme="minorHAnsi"/>
                <w:sz w:val="22"/>
                <w:szCs w:val="22"/>
              </w:rPr>
              <w:t>remit</w:t>
            </w:r>
            <w:r w:rsidR="00CC6428" w:rsidRPr="00F61437">
              <w:rPr>
                <w:rFonts w:ascii="Aptos" w:hAnsi="Aptos" w:cstheme="minorHAnsi"/>
                <w:sz w:val="22"/>
                <w:szCs w:val="22"/>
              </w:rPr>
              <w:t>The</w:t>
            </w:r>
            <w:proofErr w:type="spellEnd"/>
            <w:r w:rsidR="00CC6428" w:rsidRPr="00F61437">
              <w:rPr>
                <w:rFonts w:ascii="Aptos" w:hAnsi="Aptos" w:cstheme="minorHAnsi"/>
                <w:sz w:val="22"/>
                <w:szCs w:val="22"/>
              </w:rPr>
              <w:t xml:space="preserve"> committee’s oversight </w:t>
            </w:r>
            <w:r w:rsidR="00CC6428" w:rsidRPr="00F61437">
              <w:rPr>
                <w:rFonts w:ascii="Aptos" w:hAnsi="Aptos" w:cstheme="minorHAnsi"/>
                <w:b/>
                <w:bCs/>
                <w:sz w:val="22"/>
                <w:szCs w:val="22"/>
              </w:rPr>
              <w:t>must</w:t>
            </w:r>
            <w:r w:rsidR="00CC6428" w:rsidRPr="00F61437">
              <w:rPr>
                <w:rFonts w:ascii="Aptos" w:hAnsi="Aptos" w:cstheme="minorHAnsi"/>
                <w:sz w:val="22"/>
                <w:szCs w:val="22"/>
              </w:rPr>
              <w:t xml:space="preserve"> extend to the financial and non-financial controls and risks at all subsidiary companies and any subcontractors; this includes controls relating to learner data and funding claims. </w:t>
            </w:r>
          </w:p>
          <w:p w14:paraId="6C01C825" w14:textId="7C833FDD" w:rsidR="00536ECB" w:rsidRPr="003247C6" w:rsidRDefault="00536ECB" w:rsidP="003247C6">
            <w:pPr>
              <w:pStyle w:val="Default"/>
              <w:jc w:val="both"/>
              <w:rPr>
                <w:rFonts w:ascii="Aptos" w:hAnsi="Aptos" w:cstheme="minorHAnsi"/>
                <w:sz w:val="22"/>
                <w:szCs w:val="22"/>
              </w:rPr>
            </w:pPr>
            <w:r w:rsidRPr="003247C6">
              <w:rPr>
                <w:rFonts w:ascii="Aptos" w:hAnsi="Aptos" w:cstheme="minorHAnsi"/>
                <w:sz w:val="22"/>
                <w:szCs w:val="22"/>
              </w:rPr>
              <w:t xml:space="preserve">The Audit Committee must not adopt an executive role. </w:t>
            </w:r>
          </w:p>
        </w:tc>
      </w:tr>
      <w:tr w:rsidR="00194706" w:rsidRPr="003247C6" w14:paraId="30AC3F8C" w14:textId="77777777" w:rsidTr="0006339A">
        <w:trPr>
          <w:trHeight w:val="1012"/>
        </w:trPr>
        <w:tc>
          <w:tcPr>
            <w:tcW w:w="1809" w:type="dxa"/>
          </w:tcPr>
          <w:p w14:paraId="2D6F3D4E" w14:textId="77777777" w:rsidR="00194706" w:rsidRPr="003247C6" w:rsidRDefault="00194706" w:rsidP="003247C6">
            <w:pPr>
              <w:pStyle w:val="Default"/>
              <w:rPr>
                <w:rFonts w:ascii="Aptos" w:hAnsi="Aptos" w:cstheme="minorHAnsi"/>
                <w:sz w:val="22"/>
                <w:szCs w:val="22"/>
              </w:rPr>
            </w:pPr>
            <w:r w:rsidRPr="003247C6">
              <w:rPr>
                <w:rFonts w:ascii="Aptos" w:hAnsi="Aptos" w:cstheme="minorHAnsi"/>
                <w:sz w:val="22"/>
                <w:szCs w:val="22"/>
              </w:rPr>
              <w:lastRenderedPageBreak/>
              <w:t xml:space="preserve">Key functions and delegated powers: </w:t>
            </w:r>
          </w:p>
        </w:tc>
        <w:tc>
          <w:tcPr>
            <w:tcW w:w="7375" w:type="dxa"/>
          </w:tcPr>
          <w:p w14:paraId="6E4A23FC" w14:textId="3FFAA332" w:rsidR="009D2566" w:rsidRPr="003247C6" w:rsidRDefault="00194706" w:rsidP="00F61437">
            <w:pPr>
              <w:pStyle w:val="Default"/>
              <w:jc w:val="both"/>
              <w:rPr>
                <w:rFonts w:ascii="Aptos" w:hAnsi="Aptos" w:cstheme="minorHAnsi"/>
                <w:sz w:val="22"/>
                <w:szCs w:val="22"/>
              </w:rPr>
            </w:pPr>
            <w:r w:rsidRPr="003247C6">
              <w:rPr>
                <w:rFonts w:ascii="Aptos" w:hAnsi="Aptos" w:cstheme="minorHAnsi"/>
                <w:b/>
                <w:bCs/>
                <w:sz w:val="22"/>
                <w:szCs w:val="22"/>
              </w:rPr>
              <w:t xml:space="preserve">1 </w:t>
            </w:r>
            <w:r w:rsidRPr="003247C6">
              <w:rPr>
                <w:rFonts w:ascii="Aptos" w:hAnsi="Aptos" w:cstheme="minorHAnsi"/>
                <w:b/>
                <w:bCs/>
                <w:sz w:val="22"/>
                <w:szCs w:val="22"/>
              </w:rPr>
              <w:tab/>
            </w:r>
            <w:r w:rsidR="009D2566" w:rsidRPr="003247C6">
              <w:rPr>
                <w:rFonts w:ascii="Aptos" w:hAnsi="Aptos" w:cstheme="minorHAnsi"/>
                <w:sz w:val="22"/>
                <w:szCs w:val="22"/>
              </w:rPr>
              <w:t xml:space="preserve">To advise the Corporation on the adequacy and effectiveness of the college’s assurance framework; and to play a robust role in good stewardship and risk management </w:t>
            </w:r>
          </w:p>
          <w:p w14:paraId="307B4A3E" w14:textId="304DE1A6" w:rsidR="00A272AB" w:rsidRPr="003247C6" w:rsidRDefault="00A272AB" w:rsidP="003247C6">
            <w:pPr>
              <w:pStyle w:val="Default"/>
              <w:ind w:left="318" w:hanging="318"/>
              <w:jc w:val="both"/>
              <w:rPr>
                <w:rFonts w:ascii="Aptos" w:hAnsi="Aptos" w:cstheme="minorHAnsi"/>
                <w:sz w:val="22"/>
                <w:szCs w:val="22"/>
              </w:rPr>
            </w:pPr>
            <w:r w:rsidRPr="003247C6">
              <w:rPr>
                <w:rFonts w:ascii="Aptos" w:hAnsi="Aptos" w:cstheme="minorHAnsi"/>
                <w:sz w:val="22"/>
                <w:szCs w:val="22"/>
              </w:rPr>
              <w:t xml:space="preserve">The committee will take a holistic view with all aspects and systems, financial and non-financial, being in scope depending on their impact and effect on the </w:t>
            </w:r>
            <w:r w:rsidR="0063706E" w:rsidRPr="003247C6">
              <w:rPr>
                <w:rFonts w:ascii="Aptos" w:hAnsi="Aptos" w:cstheme="minorHAnsi"/>
                <w:sz w:val="22"/>
                <w:szCs w:val="22"/>
              </w:rPr>
              <w:t>Corporation</w:t>
            </w:r>
            <w:r w:rsidRPr="003247C6">
              <w:rPr>
                <w:rFonts w:ascii="Aptos" w:hAnsi="Aptos" w:cstheme="minorHAnsi"/>
                <w:sz w:val="22"/>
                <w:szCs w:val="22"/>
              </w:rPr>
              <w:t xml:space="preserve">. </w:t>
            </w:r>
          </w:p>
          <w:p w14:paraId="7F61CB2E" w14:textId="77777777" w:rsidR="00194706" w:rsidRPr="003247C6" w:rsidRDefault="00194706" w:rsidP="003247C6">
            <w:pPr>
              <w:pStyle w:val="Default"/>
              <w:jc w:val="both"/>
              <w:rPr>
                <w:rFonts w:ascii="Aptos" w:hAnsi="Aptos" w:cstheme="minorHAnsi"/>
                <w:sz w:val="22"/>
                <w:szCs w:val="22"/>
              </w:rPr>
            </w:pPr>
          </w:p>
          <w:p w14:paraId="65BCA975" w14:textId="27AB8978" w:rsidR="00194706" w:rsidRPr="003247C6" w:rsidRDefault="00194706" w:rsidP="003247C6">
            <w:pPr>
              <w:pStyle w:val="Default"/>
              <w:ind w:left="318" w:hanging="318"/>
              <w:jc w:val="both"/>
              <w:rPr>
                <w:rFonts w:ascii="Aptos" w:hAnsi="Aptos" w:cstheme="minorHAnsi"/>
                <w:sz w:val="22"/>
                <w:szCs w:val="22"/>
              </w:rPr>
            </w:pPr>
            <w:r w:rsidRPr="003247C6">
              <w:rPr>
                <w:rFonts w:ascii="Aptos" w:hAnsi="Aptos" w:cstheme="minorHAnsi"/>
                <w:sz w:val="22"/>
                <w:szCs w:val="22"/>
              </w:rPr>
              <w:tab/>
              <w:t xml:space="preserve">This advisory role does not reduce the prime responsibility of the </w:t>
            </w:r>
            <w:r w:rsidR="00B43AC0" w:rsidRPr="003247C6">
              <w:rPr>
                <w:rFonts w:ascii="Aptos" w:hAnsi="Aptos" w:cstheme="minorHAnsi"/>
                <w:sz w:val="22"/>
                <w:szCs w:val="22"/>
              </w:rPr>
              <w:t xml:space="preserve">group </w:t>
            </w:r>
            <w:r w:rsidRPr="003247C6">
              <w:rPr>
                <w:rFonts w:ascii="Aptos" w:hAnsi="Aptos" w:cstheme="minorHAnsi"/>
                <w:sz w:val="22"/>
                <w:szCs w:val="22"/>
              </w:rPr>
              <w:t xml:space="preserve">management to institute, monitor and review all internal control systems. </w:t>
            </w:r>
          </w:p>
          <w:p w14:paraId="11BDD030" w14:textId="77777777" w:rsidR="00194706" w:rsidRPr="003247C6" w:rsidRDefault="00194706" w:rsidP="003247C6">
            <w:pPr>
              <w:pStyle w:val="Default"/>
              <w:ind w:left="318" w:hanging="318"/>
              <w:jc w:val="both"/>
              <w:rPr>
                <w:rFonts w:ascii="Aptos" w:hAnsi="Aptos" w:cstheme="minorHAnsi"/>
                <w:b/>
                <w:bCs/>
                <w:sz w:val="22"/>
                <w:szCs w:val="22"/>
              </w:rPr>
            </w:pPr>
          </w:p>
          <w:p w14:paraId="24848DDD" w14:textId="3221A66B" w:rsidR="00A272AB" w:rsidRPr="003247C6" w:rsidRDefault="00194706" w:rsidP="003247C6">
            <w:pPr>
              <w:pStyle w:val="Default"/>
              <w:ind w:left="318" w:hanging="318"/>
              <w:jc w:val="both"/>
              <w:rPr>
                <w:rFonts w:ascii="Aptos" w:hAnsi="Aptos" w:cstheme="minorHAnsi"/>
                <w:b/>
                <w:bCs/>
                <w:sz w:val="22"/>
                <w:szCs w:val="22"/>
              </w:rPr>
            </w:pPr>
            <w:r w:rsidRPr="003247C6">
              <w:rPr>
                <w:rFonts w:ascii="Aptos" w:hAnsi="Aptos" w:cstheme="minorHAnsi"/>
                <w:b/>
                <w:bCs/>
                <w:sz w:val="22"/>
                <w:szCs w:val="22"/>
              </w:rPr>
              <w:t xml:space="preserve">2 </w:t>
            </w:r>
            <w:r w:rsidRPr="003247C6">
              <w:rPr>
                <w:rFonts w:ascii="Aptos" w:hAnsi="Aptos" w:cstheme="minorHAnsi"/>
                <w:b/>
                <w:bCs/>
                <w:sz w:val="22"/>
                <w:szCs w:val="22"/>
              </w:rPr>
              <w:tab/>
            </w:r>
            <w:r w:rsidR="00A272AB" w:rsidRPr="003247C6">
              <w:rPr>
                <w:rFonts w:ascii="Aptos" w:hAnsi="Aptos" w:cstheme="minorHAnsi"/>
                <w:bCs/>
                <w:sz w:val="22"/>
                <w:szCs w:val="22"/>
              </w:rPr>
              <w:t xml:space="preserve">To consider the development of members and put in place appropriate training to ensure their skills and knowledge are up to date, ensuring training and development is provided to address any identified gaps in the skillset of members. </w:t>
            </w:r>
          </w:p>
          <w:p w14:paraId="06CC40CE" w14:textId="77777777" w:rsidR="00A272AB" w:rsidRPr="003247C6" w:rsidRDefault="00A272AB" w:rsidP="003247C6">
            <w:pPr>
              <w:pStyle w:val="Default"/>
              <w:ind w:left="318" w:hanging="318"/>
              <w:jc w:val="both"/>
              <w:rPr>
                <w:rFonts w:ascii="Aptos" w:hAnsi="Aptos" w:cstheme="minorHAnsi"/>
                <w:sz w:val="22"/>
                <w:szCs w:val="22"/>
              </w:rPr>
            </w:pPr>
          </w:p>
          <w:p w14:paraId="39E87D61" w14:textId="639E4ABD" w:rsidR="00194706" w:rsidRPr="003247C6" w:rsidRDefault="00A272AB" w:rsidP="003247C6">
            <w:pPr>
              <w:pStyle w:val="Default"/>
              <w:ind w:left="318" w:hanging="318"/>
              <w:jc w:val="both"/>
              <w:rPr>
                <w:rFonts w:ascii="Aptos" w:hAnsi="Aptos" w:cstheme="minorHAnsi"/>
                <w:bCs/>
                <w:sz w:val="22"/>
                <w:szCs w:val="22"/>
              </w:rPr>
            </w:pPr>
            <w:r w:rsidRPr="003247C6">
              <w:rPr>
                <w:rFonts w:ascii="Aptos" w:hAnsi="Aptos" w:cstheme="minorHAnsi"/>
                <w:b/>
                <w:sz w:val="22"/>
                <w:szCs w:val="22"/>
              </w:rPr>
              <w:t>3</w:t>
            </w:r>
            <w:r w:rsidRPr="003247C6">
              <w:rPr>
                <w:rFonts w:ascii="Aptos" w:hAnsi="Aptos" w:cstheme="minorHAnsi"/>
                <w:sz w:val="22"/>
                <w:szCs w:val="22"/>
              </w:rPr>
              <w:tab/>
            </w:r>
            <w:r w:rsidR="00194706" w:rsidRPr="003247C6">
              <w:rPr>
                <w:rFonts w:ascii="Aptos" w:hAnsi="Aptos" w:cstheme="minorHAnsi"/>
                <w:sz w:val="22"/>
                <w:szCs w:val="22"/>
              </w:rPr>
              <w:t xml:space="preserve">To recommend the annual financial statements to the Governing Body for approval and </w:t>
            </w:r>
            <w:r w:rsidR="00194706" w:rsidRPr="003247C6">
              <w:rPr>
                <w:rFonts w:ascii="Aptos" w:hAnsi="Aptos" w:cstheme="minorHAnsi"/>
                <w:bCs/>
                <w:sz w:val="22"/>
                <w:szCs w:val="22"/>
              </w:rPr>
              <w:t xml:space="preserve">to advise and support the Corporation to explain, in its accounts, the measures taken to ensure it has fulfilled its statutory and regulatory responsibilities. </w:t>
            </w:r>
          </w:p>
          <w:p w14:paraId="271ED811" w14:textId="77777777" w:rsidR="00194706" w:rsidRPr="003247C6" w:rsidRDefault="00194706" w:rsidP="003247C6">
            <w:pPr>
              <w:pStyle w:val="Default"/>
              <w:jc w:val="both"/>
              <w:rPr>
                <w:rFonts w:ascii="Aptos" w:hAnsi="Aptos" w:cstheme="minorHAnsi"/>
                <w:sz w:val="22"/>
                <w:szCs w:val="22"/>
              </w:rPr>
            </w:pPr>
          </w:p>
          <w:p w14:paraId="5C9BBB15" w14:textId="5BC05001" w:rsidR="00194706" w:rsidRPr="003247C6" w:rsidRDefault="008B2973" w:rsidP="003247C6">
            <w:pPr>
              <w:pStyle w:val="Default"/>
              <w:ind w:left="348" w:hanging="283"/>
              <w:jc w:val="both"/>
              <w:rPr>
                <w:rFonts w:ascii="Aptos" w:hAnsi="Aptos" w:cstheme="minorHAnsi"/>
                <w:sz w:val="22"/>
                <w:szCs w:val="22"/>
              </w:rPr>
            </w:pPr>
            <w:r w:rsidRPr="003247C6">
              <w:rPr>
                <w:rFonts w:ascii="Aptos" w:hAnsi="Aptos" w:cstheme="minorHAnsi"/>
                <w:b/>
                <w:bCs/>
                <w:sz w:val="22"/>
                <w:szCs w:val="22"/>
              </w:rPr>
              <w:t xml:space="preserve">4 </w:t>
            </w:r>
            <w:r w:rsidR="001F170E" w:rsidRPr="003247C6">
              <w:rPr>
                <w:rFonts w:ascii="Aptos" w:hAnsi="Aptos" w:cstheme="minorHAnsi"/>
                <w:b/>
                <w:bCs/>
                <w:sz w:val="22"/>
                <w:szCs w:val="22"/>
              </w:rPr>
              <w:tab/>
            </w:r>
            <w:r w:rsidR="00194706" w:rsidRPr="003247C6">
              <w:rPr>
                <w:rFonts w:ascii="Aptos" w:hAnsi="Aptos" w:cstheme="minorHAnsi"/>
                <w:sz w:val="22"/>
                <w:szCs w:val="22"/>
              </w:rPr>
              <w:t xml:space="preserve">To advise the Governing Body on the appointment, reappointment, dismissal and remuneration of the external auditor, reporting accountant, internal audit (as applicable) and other assurance providers (as applicable) and establish that all such assurance providers adhere to relevant professional standards </w:t>
            </w:r>
          </w:p>
          <w:p w14:paraId="7BCA2F72" w14:textId="77777777" w:rsidR="0006339A" w:rsidRPr="003247C6" w:rsidRDefault="0006339A" w:rsidP="003247C6">
            <w:pPr>
              <w:pStyle w:val="Default"/>
              <w:ind w:left="348" w:hanging="283"/>
              <w:jc w:val="both"/>
              <w:rPr>
                <w:rFonts w:ascii="Aptos" w:hAnsi="Aptos" w:cstheme="minorHAnsi"/>
                <w:sz w:val="22"/>
                <w:szCs w:val="22"/>
              </w:rPr>
            </w:pPr>
          </w:p>
          <w:p w14:paraId="5D64F86F" w14:textId="394A51F2" w:rsidR="00194706" w:rsidRPr="003247C6" w:rsidRDefault="008B2973"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 xml:space="preserve">5 </w:t>
            </w:r>
            <w:r w:rsidR="00194706" w:rsidRPr="003247C6">
              <w:rPr>
                <w:rFonts w:ascii="Aptos" w:hAnsi="Aptos" w:cstheme="minorHAnsi"/>
                <w:sz w:val="22"/>
                <w:szCs w:val="22"/>
              </w:rPr>
              <w:t xml:space="preserve">To establish, in conjunction with </w:t>
            </w:r>
            <w:r w:rsidR="00B43AC0" w:rsidRPr="003247C6">
              <w:rPr>
                <w:rFonts w:ascii="Aptos" w:hAnsi="Aptos" w:cstheme="minorHAnsi"/>
                <w:sz w:val="22"/>
                <w:szCs w:val="22"/>
              </w:rPr>
              <w:t xml:space="preserve">group </w:t>
            </w:r>
            <w:r w:rsidR="00194706" w:rsidRPr="003247C6">
              <w:rPr>
                <w:rFonts w:ascii="Aptos" w:hAnsi="Aptos" w:cstheme="minorHAnsi"/>
                <w:sz w:val="22"/>
                <w:szCs w:val="22"/>
              </w:rPr>
              <w:t xml:space="preserve">management, relevant annual performance measures and indicators for the </w:t>
            </w:r>
            <w:r w:rsidR="00B43AC0" w:rsidRPr="003247C6">
              <w:rPr>
                <w:rFonts w:ascii="Aptos" w:hAnsi="Aptos" w:cstheme="minorHAnsi"/>
                <w:sz w:val="22"/>
                <w:szCs w:val="22"/>
              </w:rPr>
              <w:t>Internal Audit Service (</w:t>
            </w:r>
            <w:r w:rsidR="00194706" w:rsidRPr="003247C6">
              <w:rPr>
                <w:rFonts w:ascii="Aptos" w:hAnsi="Aptos" w:cstheme="minorHAnsi"/>
                <w:sz w:val="22"/>
                <w:szCs w:val="22"/>
              </w:rPr>
              <w:t>IAS</w:t>
            </w:r>
            <w:r w:rsidR="00B43AC0" w:rsidRPr="003247C6">
              <w:rPr>
                <w:rFonts w:ascii="Aptos" w:hAnsi="Aptos" w:cstheme="minorHAnsi"/>
                <w:sz w:val="22"/>
                <w:szCs w:val="22"/>
              </w:rPr>
              <w:t>)</w:t>
            </w:r>
            <w:r w:rsidR="00194706" w:rsidRPr="003247C6">
              <w:rPr>
                <w:rFonts w:ascii="Aptos" w:hAnsi="Aptos" w:cstheme="minorHAnsi"/>
                <w:sz w:val="22"/>
                <w:szCs w:val="22"/>
              </w:rPr>
              <w:t xml:space="preserve"> (where appointed) and external auditor and review and monitor the effectiveness, independence and objectivity of the IAS and external auditors, including through these measures and indicators </w:t>
            </w:r>
          </w:p>
          <w:p w14:paraId="059B9212" w14:textId="77777777" w:rsidR="00194706" w:rsidRPr="003247C6" w:rsidRDefault="00194706" w:rsidP="003247C6">
            <w:pPr>
              <w:pStyle w:val="Default"/>
              <w:ind w:left="318" w:hanging="318"/>
              <w:jc w:val="both"/>
              <w:rPr>
                <w:rFonts w:ascii="Aptos" w:hAnsi="Aptos" w:cstheme="minorHAnsi"/>
                <w:sz w:val="22"/>
                <w:szCs w:val="22"/>
              </w:rPr>
            </w:pPr>
          </w:p>
          <w:p w14:paraId="183C33D4" w14:textId="77777777" w:rsidR="003247C6" w:rsidRDefault="008B2973"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6</w:t>
            </w:r>
            <w:r w:rsidR="00194706" w:rsidRPr="003247C6">
              <w:rPr>
                <w:rFonts w:ascii="Aptos" w:hAnsi="Aptos" w:cstheme="minorHAnsi"/>
                <w:b/>
                <w:bCs/>
                <w:sz w:val="22"/>
                <w:szCs w:val="22"/>
              </w:rPr>
              <w:tab/>
            </w:r>
            <w:r w:rsidR="00194706" w:rsidRPr="003247C6">
              <w:rPr>
                <w:rFonts w:ascii="Aptos" w:hAnsi="Aptos" w:cstheme="minorHAnsi"/>
                <w:sz w:val="22"/>
                <w:szCs w:val="22"/>
              </w:rPr>
              <w:t xml:space="preserve">To </w:t>
            </w:r>
            <w:r w:rsidRPr="003247C6">
              <w:rPr>
                <w:rFonts w:ascii="Aptos" w:hAnsi="Aptos" w:cstheme="minorHAnsi"/>
                <w:sz w:val="22"/>
                <w:szCs w:val="22"/>
              </w:rPr>
              <w:t>ensure a policy is in place for regular retendering of external and internal audit services</w:t>
            </w:r>
            <w:r w:rsidR="004F66A9" w:rsidRPr="003247C6">
              <w:rPr>
                <w:rFonts w:ascii="Aptos" w:hAnsi="Aptos" w:cstheme="minorHAnsi"/>
                <w:sz w:val="22"/>
                <w:szCs w:val="22"/>
              </w:rPr>
              <w:t xml:space="preserve"> (at least every five years)</w:t>
            </w:r>
            <w:r w:rsidRPr="003247C6">
              <w:rPr>
                <w:rFonts w:ascii="Aptos" w:hAnsi="Aptos" w:cstheme="minorHAnsi"/>
                <w:sz w:val="22"/>
                <w:szCs w:val="22"/>
              </w:rPr>
              <w:t xml:space="preserve"> which takes account of the quality of the audit service, as well as the pr</w:t>
            </w:r>
            <w:r w:rsidR="00516D38" w:rsidRPr="003247C6">
              <w:rPr>
                <w:rFonts w:ascii="Aptos" w:hAnsi="Aptos" w:cstheme="minorHAnsi"/>
                <w:sz w:val="22"/>
                <w:szCs w:val="22"/>
              </w:rPr>
              <w:t>i</w:t>
            </w:r>
            <w:r w:rsidRPr="003247C6">
              <w:rPr>
                <w:rFonts w:ascii="Aptos" w:hAnsi="Aptos" w:cstheme="minorHAnsi"/>
                <w:sz w:val="22"/>
                <w:szCs w:val="22"/>
              </w:rPr>
              <w:t xml:space="preserve">ce, </w:t>
            </w:r>
            <w:r w:rsidR="00194706" w:rsidRPr="003247C6">
              <w:rPr>
                <w:rFonts w:ascii="Aptos" w:hAnsi="Aptos" w:cstheme="minorHAnsi"/>
                <w:sz w:val="22"/>
                <w:szCs w:val="22"/>
              </w:rPr>
              <w:t xml:space="preserve">and </w:t>
            </w:r>
            <w:r w:rsidR="00CA471E" w:rsidRPr="003247C6">
              <w:rPr>
                <w:rFonts w:ascii="Aptos" w:hAnsi="Aptos" w:cstheme="minorHAnsi"/>
                <w:sz w:val="22"/>
                <w:szCs w:val="22"/>
              </w:rPr>
              <w:t xml:space="preserve">to </w:t>
            </w:r>
            <w:r w:rsidR="00194706" w:rsidRPr="003247C6">
              <w:rPr>
                <w:rFonts w:ascii="Aptos" w:hAnsi="Aptos" w:cstheme="minorHAnsi"/>
                <w:sz w:val="22"/>
                <w:szCs w:val="22"/>
              </w:rPr>
              <w:t>make appropriate recommendations to the Governing Body</w:t>
            </w:r>
            <w:r w:rsidR="004F66A9" w:rsidRPr="003247C6">
              <w:rPr>
                <w:rFonts w:ascii="Aptos" w:hAnsi="Aptos" w:cstheme="minorHAnsi"/>
                <w:sz w:val="22"/>
                <w:szCs w:val="22"/>
              </w:rPr>
              <w:t xml:space="preserve">; to notify the </w:t>
            </w:r>
            <w:r w:rsidR="00B43AC0" w:rsidRPr="003247C6">
              <w:rPr>
                <w:rFonts w:ascii="Aptos" w:hAnsi="Aptos" w:cstheme="minorHAnsi"/>
                <w:sz w:val="22"/>
                <w:szCs w:val="22"/>
              </w:rPr>
              <w:t>Education and Skills Funding Agency (</w:t>
            </w:r>
            <w:r w:rsidR="004F66A9" w:rsidRPr="003247C6">
              <w:rPr>
                <w:rFonts w:ascii="Aptos" w:hAnsi="Aptos" w:cstheme="minorHAnsi"/>
                <w:sz w:val="22"/>
                <w:szCs w:val="22"/>
              </w:rPr>
              <w:t>ESFA</w:t>
            </w:r>
            <w:r w:rsidR="00B43AC0" w:rsidRPr="003247C6">
              <w:rPr>
                <w:rFonts w:ascii="Aptos" w:hAnsi="Aptos" w:cstheme="minorHAnsi"/>
                <w:sz w:val="22"/>
                <w:szCs w:val="22"/>
              </w:rPr>
              <w:t>)</w:t>
            </w:r>
            <w:r w:rsidR="004F66A9" w:rsidRPr="003247C6">
              <w:rPr>
                <w:rFonts w:ascii="Aptos" w:hAnsi="Aptos" w:cstheme="minorHAnsi"/>
                <w:sz w:val="22"/>
                <w:szCs w:val="22"/>
              </w:rPr>
              <w:t xml:space="preserve"> immediately of the resignation of external auditors mid-term, or where the corporation removes the external auditors before the expiry of their term of office, copying to the ESFA an explanation from the auditors or notifying the ESFA of reasons for dismissal.</w:t>
            </w:r>
            <w:r w:rsidR="00194706" w:rsidRPr="003247C6">
              <w:rPr>
                <w:rFonts w:ascii="Aptos" w:hAnsi="Aptos" w:cstheme="minorHAnsi"/>
                <w:sz w:val="22"/>
                <w:szCs w:val="22"/>
              </w:rPr>
              <w:t xml:space="preserve"> </w:t>
            </w:r>
          </w:p>
          <w:p w14:paraId="7B8DAE99" w14:textId="77777777" w:rsidR="003247C6" w:rsidRDefault="003247C6" w:rsidP="003247C6">
            <w:pPr>
              <w:pStyle w:val="Default"/>
              <w:ind w:left="318" w:hanging="318"/>
              <w:jc w:val="both"/>
              <w:rPr>
                <w:rFonts w:ascii="Aptos" w:hAnsi="Aptos" w:cstheme="minorHAnsi"/>
                <w:sz w:val="22"/>
                <w:szCs w:val="22"/>
              </w:rPr>
            </w:pPr>
          </w:p>
          <w:p w14:paraId="1C94B27F" w14:textId="2D9D0320" w:rsidR="00C62B6B" w:rsidRPr="00F61437" w:rsidRDefault="008B2973" w:rsidP="003247C6">
            <w:pPr>
              <w:pStyle w:val="Default"/>
              <w:ind w:left="318" w:hanging="318"/>
              <w:jc w:val="both"/>
              <w:rPr>
                <w:rFonts w:ascii="Aptos" w:hAnsi="Aptos" w:cstheme="minorHAnsi"/>
                <w:sz w:val="22"/>
                <w:szCs w:val="22"/>
              </w:rPr>
            </w:pPr>
            <w:r w:rsidRPr="003247C6">
              <w:rPr>
                <w:rFonts w:ascii="Aptos" w:hAnsi="Aptos" w:cstheme="minorHAnsi"/>
                <w:sz w:val="22"/>
                <w:szCs w:val="22"/>
              </w:rPr>
              <w:t>7</w:t>
            </w:r>
            <w:r w:rsidR="00194706" w:rsidRPr="003247C6">
              <w:rPr>
                <w:rFonts w:ascii="Aptos" w:hAnsi="Aptos" w:cstheme="minorHAnsi"/>
                <w:sz w:val="22"/>
                <w:szCs w:val="22"/>
              </w:rPr>
              <w:tab/>
              <w:t xml:space="preserve">To advise the Governing Body on the scope and objectives of the work of the IAS, the external auditor and the funding auditor (where appointed), </w:t>
            </w:r>
            <w:r w:rsidR="005F157A" w:rsidRPr="003247C6">
              <w:rPr>
                <w:rFonts w:ascii="Aptos" w:hAnsi="Aptos" w:cstheme="minorHAnsi"/>
                <w:sz w:val="22"/>
                <w:szCs w:val="22"/>
              </w:rPr>
              <w:t xml:space="preserve">and any other assurance providers, </w:t>
            </w:r>
            <w:r w:rsidR="00194706" w:rsidRPr="003247C6">
              <w:rPr>
                <w:rFonts w:ascii="Aptos" w:hAnsi="Aptos" w:cstheme="minorHAnsi"/>
                <w:sz w:val="22"/>
                <w:szCs w:val="22"/>
              </w:rPr>
              <w:t>including the audit strategy and annual internal audit plans for the IAS</w:t>
            </w:r>
            <w:r w:rsidR="00C62B6B" w:rsidRPr="003247C6">
              <w:rPr>
                <w:rFonts w:ascii="Aptos" w:hAnsi="Aptos" w:cstheme="minorHAnsi"/>
                <w:sz w:val="22"/>
                <w:szCs w:val="22"/>
              </w:rPr>
              <w:t xml:space="preserve">. This will include </w:t>
            </w:r>
            <w:r w:rsidR="00C62B6B" w:rsidRPr="00F61437">
              <w:rPr>
                <w:rFonts w:ascii="Aptos" w:hAnsi="Aptos" w:cstheme="minorHAnsi"/>
                <w:sz w:val="22"/>
                <w:szCs w:val="22"/>
              </w:rPr>
              <w:t>reviewing the ratings and responses on the risk register to inform the programme of work</w:t>
            </w:r>
          </w:p>
          <w:p w14:paraId="1D9D9CA8" w14:textId="77777777" w:rsidR="00194706" w:rsidRPr="003247C6" w:rsidRDefault="00194706" w:rsidP="003247C6">
            <w:pPr>
              <w:pStyle w:val="Default"/>
              <w:jc w:val="both"/>
              <w:rPr>
                <w:rFonts w:ascii="Aptos" w:hAnsi="Aptos" w:cstheme="minorHAnsi"/>
                <w:sz w:val="22"/>
                <w:szCs w:val="22"/>
              </w:rPr>
            </w:pPr>
          </w:p>
          <w:p w14:paraId="428FA682" w14:textId="163F9B19" w:rsidR="00194706" w:rsidRPr="003247C6" w:rsidRDefault="008B2973"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8</w:t>
            </w:r>
            <w:r w:rsidR="00194706" w:rsidRPr="003247C6">
              <w:rPr>
                <w:rFonts w:ascii="Aptos" w:hAnsi="Aptos" w:cstheme="minorHAnsi"/>
                <w:b/>
                <w:bCs/>
                <w:sz w:val="22"/>
                <w:szCs w:val="22"/>
              </w:rPr>
              <w:tab/>
            </w:r>
            <w:r w:rsidR="00194706" w:rsidRPr="003247C6">
              <w:rPr>
                <w:rFonts w:ascii="Aptos" w:hAnsi="Aptos" w:cstheme="minorHAnsi"/>
                <w:sz w:val="22"/>
                <w:szCs w:val="22"/>
              </w:rPr>
              <w:t xml:space="preserve">To develop and implement policy on the engagement of the external auditor to supply services other than financial statements audit and regularity audit, taking into account relevant ethical guidance; to inform the Governing Body of any additional services provided by the external auditor, reporting accountant, internal audit (as applicable) and other </w:t>
            </w:r>
            <w:r w:rsidR="00194706" w:rsidRPr="003247C6">
              <w:rPr>
                <w:rFonts w:ascii="Aptos" w:hAnsi="Aptos" w:cstheme="minorHAnsi"/>
                <w:sz w:val="22"/>
                <w:szCs w:val="22"/>
              </w:rPr>
              <w:lastRenderedPageBreak/>
              <w:t>assurance providers (as applicable) and explain how independence and objectivity were safeguarded</w:t>
            </w:r>
          </w:p>
          <w:p w14:paraId="1BF39C06" w14:textId="709CAB69" w:rsidR="00194706" w:rsidRPr="003247C6" w:rsidRDefault="00194706" w:rsidP="003247C6">
            <w:pPr>
              <w:pStyle w:val="Default"/>
              <w:ind w:left="318" w:hanging="318"/>
              <w:jc w:val="both"/>
              <w:rPr>
                <w:rFonts w:ascii="Aptos" w:hAnsi="Aptos" w:cstheme="minorHAnsi"/>
                <w:sz w:val="22"/>
                <w:szCs w:val="22"/>
              </w:rPr>
            </w:pPr>
          </w:p>
          <w:p w14:paraId="36523FF3" w14:textId="294A3CA5" w:rsidR="00194706" w:rsidRPr="003247C6" w:rsidRDefault="008B2973"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 xml:space="preserve">9 </w:t>
            </w:r>
            <w:r w:rsidR="00194706" w:rsidRPr="003247C6">
              <w:rPr>
                <w:rFonts w:ascii="Aptos" w:hAnsi="Aptos" w:cstheme="minorHAnsi"/>
                <w:sz w:val="22"/>
                <w:szCs w:val="22"/>
              </w:rPr>
              <w:t xml:space="preserve">To review and consider the reports of </w:t>
            </w:r>
            <w:r w:rsidR="00F86CBF" w:rsidRPr="003247C6">
              <w:rPr>
                <w:rFonts w:ascii="Aptos" w:hAnsi="Aptos" w:cstheme="minorHAnsi"/>
                <w:sz w:val="22"/>
                <w:szCs w:val="22"/>
              </w:rPr>
              <w:t xml:space="preserve">the </w:t>
            </w:r>
            <w:r w:rsidR="00194706" w:rsidRPr="003247C6">
              <w:rPr>
                <w:rFonts w:ascii="Aptos" w:hAnsi="Aptos" w:cstheme="minorHAnsi"/>
                <w:sz w:val="22"/>
                <w:szCs w:val="22"/>
              </w:rPr>
              <w:t>external auditor, reporting accountant, internal audit (as applicable) and other assurance providers (as applicable)</w:t>
            </w:r>
            <w:r w:rsidR="00A272AB" w:rsidRPr="003247C6">
              <w:rPr>
                <w:rFonts w:ascii="Aptos" w:hAnsi="Aptos" w:cstheme="minorHAnsi"/>
                <w:sz w:val="22"/>
                <w:szCs w:val="22"/>
              </w:rPr>
              <w:t xml:space="preserve"> and </w:t>
            </w:r>
            <w:r w:rsidR="00AC2266" w:rsidRPr="003247C6">
              <w:rPr>
                <w:rFonts w:ascii="Aptos" w:hAnsi="Aptos" w:cstheme="minorHAnsi"/>
                <w:sz w:val="22"/>
                <w:szCs w:val="22"/>
              </w:rPr>
              <w:t xml:space="preserve">ensure that </w:t>
            </w:r>
            <w:r w:rsidR="00AC2266" w:rsidRPr="00F61437">
              <w:rPr>
                <w:rFonts w:ascii="Aptos" w:eastAsia="Times New Roman" w:hAnsi="Aptos"/>
                <w:color w:val="0B0C0C"/>
                <w:sz w:val="22"/>
                <w:szCs w:val="22"/>
                <w:lang w:eastAsia="en-GB"/>
              </w:rPr>
              <w:t>all recommendations arising from the programme of internal review and the external audit are followed up effectively</w:t>
            </w:r>
            <w:r w:rsidR="00AC2266" w:rsidRPr="003247C6">
              <w:rPr>
                <w:rFonts w:ascii="Aptos" w:hAnsi="Aptos" w:cstheme="minorHAnsi"/>
                <w:sz w:val="22"/>
                <w:szCs w:val="22"/>
              </w:rPr>
              <w:t xml:space="preserve"> and to agreed timescales.</w:t>
            </w:r>
          </w:p>
          <w:p w14:paraId="0C6C11C4" w14:textId="77777777" w:rsidR="00194706" w:rsidRPr="003247C6" w:rsidRDefault="00194706" w:rsidP="003247C6">
            <w:pPr>
              <w:pStyle w:val="Default"/>
              <w:ind w:left="318" w:hanging="318"/>
              <w:jc w:val="both"/>
              <w:rPr>
                <w:rFonts w:ascii="Aptos" w:hAnsi="Aptos" w:cstheme="minorHAnsi"/>
                <w:sz w:val="22"/>
                <w:szCs w:val="22"/>
              </w:rPr>
            </w:pPr>
          </w:p>
          <w:p w14:paraId="28F2406E" w14:textId="77777777" w:rsidR="00194706" w:rsidRPr="003247C6" w:rsidRDefault="00194706" w:rsidP="003247C6">
            <w:pPr>
              <w:pStyle w:val="Default"/>
              <w:ind w:left="318" w:hanging="318"/>
              <w:jc w:val="both"/>
              <w:rPr>
                <w:rFonts w:ascii="Aptos" w:hAnsi="Aptos" w:cstheme="minorHAnsi"/>
                <w:sz w:val="22"/>
                <w:szCs w:val="22"/>
              </w:rPr>
            </w:pPr>
            <w:r w:rsidRPr="003247C6">
              <w:rPr>
                <w:rFonts w:ascii="Aptos" w:hAnsi="Aptos" w:cstheme="minorHAnsi"/>
                <w:sz w:val="22"/>
                <w:szCs w:val="22"/>
              </w:rPr>
              <w:tab/>
            </w:r>
            <w:proofErr w:type="gramStart"/>
            <w:r w:rsidRPr="003247C6">
              <w:rPr>
                <w:rFonts w:ascii="Aptos" w:hAnsi="Aptos" w:cstheme="minorHAnsi"/>
                <w:sz w:val="22"/>
                <w:szCs w:val="22"/>
              </w:rPr>
              <w:t>In order to</w:t>
            </w:r>
            <w:proofErr w:type="gramEnd"/>
            <w:r w:rsidRPr="003247C6">
              <w:rPr>
                <w:rFonts w:ascii="Aptos" w:hAnsi="Aptos" w:cstheme="minorHAnsi"/>
                <w:sz w:val="22"/>
                <w:szCs w:val="22"/>
              </w:rPr>
              <w:t xml:space="preserve"> facilitate such monitoring, the committee is empowered to invite individual members of staff to attend meetings </w:t>
            </w:r>
          </w:p>
          <w:p w14:paraId="709E8696" w14:textId="77777777" w:rsidR="00194706" w:rsidRPr="003247C6" w:rsidRDefault="00194706" w:rsidP="003247C6">
            <w:pPr>
              <w:pStyle w:val="Default"/>
              <w:ind w:left="318" w:hanging="318"/>
              <w:jc w:val="both"/>
              <w:rPr>
                <w:rFonts w:ascii="Aptos" w:hAnsi="Aptos" w:cstheme="minorHAnsi"/>
                <w:sz w:val="22"/>
                <w:szCs w:val="22"/>
              </w:rPr>
            </w:pPr>
          </w:p>
          <w:p w14:paraId="0C9E2567" w14:textId="580DED02" w:rsidR="00194706" w:rsidRPr="003247C6" w:rsidRDefault="00194706"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 xml:space="preserve">10 </w:t>
            </w:r>
            <w:r w:rsidRPr="003247C6">
              <w:rPr>
                <w:rFonts w:ascii="Aptos" w:hAnsi="Aptos" w:cstheme="minorHAnsi"/>
                <w:sz w:val="22"/>
                <w:szCs w:val="22"/>
              </w:rPr>
              <w:t xml:space="preserve">To consider and advise the Governing Body on relevant reports by the National Audit Office (NAO), the </w:t>
            </w:r>
            <w:r w:rsidR="00AC2266" w:rsidRPr="003247C6">
              <w:rPr>
                <w:rFonts w:ascii="Aptos" w:hAnsi="Aptos" w:cstheme="minorHAnsi"/>
                <w:sz w:val="22"/>
                <w:szCs w:val="22"/>
              </w:rPr>
              <w:t xml:space="preserve">Department for </w:t>
            </w:r>
            <w:r w:rsidRPr="003247C6">
              <w:rPr>
                <w:rFonts w:ascii="Aptos" w:hAnsi="Aptos" w:cstheme="minorHAnsi"/>
                <w:sz w:val="22"/>
                <w:szCs w:val="22"/>
              </w:rPr>
              <w:t xml:space="preserve">Education and other funding bodies, and, where appropriate, management’s response to these </w:t>
            </w:r>
          </w:p>
          <w:p w14:paraId="2A0D8C1A" w14:textId="77777777" w:rsidR="00194706" w:rsidRPr="003247C6" w:rsidRDefault="00194706" w:rsidP="003247C6">
            <w:pPr>
              <w:pStyle w:val="Default"/>
              <w:jc w:val="both"/>
              <w:rPr>
                <w:rFonts w:ascii="Aptos" w:hAnsi="Aptos" w:cstheme="minorHAnsi"/>
                <w:color w:val="auto"/>
                <w:sz w:val="22"/>
                <w:szCs w:val="22"/>
              </w:rPr>
            </w:pPr>
          </w:p>
          <w:p w14:paraId="64C49750" w14:textId="6A1EB6DF" w:rsidR="00194706" w:rsidRPr="003247C6" w:rsidRDefault="00194706" w:rsidP="003247C6">
            <w:pPr>
              <w:pStyle w:val="Default"/>
              <w:ind w:left="318" w:hanging="318"/>
              <w:jc w:val="both"/>
              <w:rPr>
                <w:rFonts w:ascii="Aptos" w:hAnsi="Aptos" w:cstheme="minorHAnsi"/>
                <w:sz w:val="22"/>
                <w:szCs w:val="22"/>
              </w:rPr>
            </w:pPr>
            <w:r w:rsidRPr="003247C6">
              <w:rPr>
                <w:rFonts w:ascii="Aptos" w:hAnsi="Aptos" w:cstheme="minorHAnsi"/>
                <w:b/>
                <w:bCs/>
                <w:sz w:val="22"/>
                <w:szCs w:val="22"/>
              </w:rPr>
              <w:t xml:space="preserve">11 </w:t>
            </w:r>
            <w:r w:rsidRPr="003247C6">
              <w:rPr>
                <w:rFonts w:ascii="Aptos" w:hAnsi="Aptos" w:cstheme="minorHAnsi"/>
                <w:sz w:val="22"/>
                <w:szCs w:val="22"/>
              </w:rPr>
              <w:t xml:space="preserve">To produce an annual report for the Governing Body summarising the activities of the Audit </w:t>
            </w:r>
            <w:r w:rsidR="00F94E09" w:rsidRPr="003247C6">
              <w:rPr>
                <w:rFonts w:ascii="Aptos" w:hAnsi="Aptos" w:cstheme="minorHAnsi"/>
                <w:sz w:val="22"/>
                <w:szCs w:val="22"/>
              </w:rPr>
              <w:t xml:space="preserve">and Risk </w:t>
            </w:r>
            <w:r w:rsidRPr="003247C6">
              <w:rPr>
                <w:rFonts w:ascii="Aptos" w:hAnsi="Aptos" w:cstheme="minorHAnsi"/>
                <w:sz w:val="22"/>
                <w:szCs w:val="22"/>
              </w:rPr>
              <w:t xml:space="preserve">Committee as they relate to the </w:t>
            </w:r>
            <w:r w:rsidR="0063706E" w:rsidRPr="003247C6">
              <w:rPr>
                <w:rFonts w:ascii="Aptos" w:hAnsi="Aptos" w:cstheme="minorHAnsi"/>
                <w:sz w:val="22"/>
                <w:szCs w:val="22"/>
              </w:rPr>
              <w:t xml:space="preserve">financial </w:t>
            </w:r>
            <w:r w:rsidRPr="003247C6">
              <w:rPr>
                <w:rFonts w:ascii="Aptos" w:hAnsi="Aptos" w:cstheme="minorHAnsi"/>
                <w:sz w:val="22"/>
                <w:szCs w:val="22"/>
              </w:rPr>
              <w:t xml:space="preserve">year under review including: </w:t>
            </w:r>
          </w:p>
          <w:p w14:paraId="64EDB80B" w14:textId="29CCDADC"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a summary of the work undertaken by the committee during the year</w:t>
            </w:r>
          </w:p>
          <w:p w14:paraId="32F500EA" w14:textId="7622BF0C" w:rsidR="00A272AB" w:rsidRPr="003247C6" w:rsidRDefault="00A272AB"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xml:space="preserve">- the number of meetings held in the year and attendance records for each Audit </w:t>
            </w:r>
            <w:r w:rsidR="00F94E09" w:rsidRPr="003247C6">
              <w:rPr>
                <w:rFonts w:ascii="Aptos" w:hAnsi="Aptos" w:cstheme="minorHAnsi"/>
                <w:color w:val="0D0D0D"/>
              </w:rPr>
              <w:t xml:space="preserve">and Risk </w:t>
            </w:r>
            <w:r w:rsidRPr="003247C6">
              <w:rPr>
                <w:rFonts w:ascii="Aptos" w:hAnsi="Aptos" w:cstheme="minorHAnsi"/>
                <w:color w:val="0D0D0D"/>
              </w:rPr>
              <w:t>Committee member</w:t>
            </w:r>
          </w:p>
          <w:p w14:paraId="0EBA71FD" w14:textId="77777777"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any significant issues arising up to the date of preparation of the report</w:t>
            </w:r>
          </w:p>
          <w:p w14:paraId="21B3B148" w14:textId="609E0272"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any significant matters of internal control included in the reports of audit and assurance providers</w:t>
            </w:r>
          </w:p>
          <w:p w14:paraId="28D0AC2D" w14:textId="2C5E8038" w:rsidR="008B2973" w:rsidRPr="003247C6" w:rsidRDefault="008B2973"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details of the date of appointment of the external auditors and the remaining term of the contract</w:t>
            </w:r>
          </w:p>
          <w:p w14:paraId="05A4DDBE" w14:textId="77777777"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the committee’s view of its own effectiveness and how it has fulfilled its terms of reference</w:t>
            </w:r>
          </w:p>
          <w:p w14:paraId="20DB798C" w14:textId="733671B9"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the committee’s opinion on the adequacy and effectiveness of the Corporation’s assurance arrangements,</w:t>
            </w:r>
            <w:r w:rsidR="0063706E" w:rsidRPr="003247C6">
              <w:rPr>
                <w:rFonts w:ascii="Aptos" w:hAnsi="Aptos" w:cstheme="minorHAnsi"/>
                <w:color w:val="0D0D0D"/>
              </w:rPr>
              <w:t xml:space="preserve"> assurance over subcontracting, </w:t>
            </w:r>
            <w:r w:rsidRPr="003247C6">
              <w:rPr>
                <w:rFonts w:ascii="Aptos" w:hAnsi="Aptos" w:cstheme="minorHAnsi"/>
                <w:color w:val="0D0D0D"/>
              </w:rPr>
              <w:t>framework of governance, risk management and control processes for the effective and efficient use or resources, solvency, and the safeguarding of assets</w:t>
            </w:r>
          </w:p>
          <w:p w14:paraId="052C4C25" w14:textId="12A97C0E" w:rsidR="00260282" w:rsidRPr="003247C6" w:rsidRDefault="00194706" w:rsidP="003247C6">
            <w:pPr>
              <w:autoSpaceDE w:val="0"/>
              <w:autoSpaceDN w:val="0"/>
              <w:adjustRightInd w:val="0"/>
              <w:spacing w:after="0"/>
              <w:ind w:left="348" w:hanging="2"/>
              <w:jc w:val="both"/>
              <w:rPr>
                <w:rFonts w:ascii="Aptos" w:hAnsi="Aptos" w:cstheme="minorHAnsi"/>
                <w:color w:val="0D0D0D"/>
              </w:rPr>
            </w:pPr>
            <w:r w:rsidRPr="003247C6">
              <w:rPr>
                <w:rFonts w:ascii="Aptos" w:hAnsi="Aptos" w:cstheme="minorHAnsi"/>
                <w:color w:val="0D0D0D"/>
              </w:rPr>
              <w:t>and to submit the annual report to the Corporation before the statement of corporate governance and internal control in the annual accounts is signed</w:t>
            </w:r>
          </w:p>
          <w:p w14:paraId="16AFF43A" w14:textId="77777777" w:rsidR="00260282" w:rsidRPr="003247C6" w:rsidRDefault="00260282" w:rsidP="003247C6">
            <w:pPr>
              <w:autoSpaceDE w:val="0"/>
              <w:autoSpaceDN w:val="0"/>
              <w:adjustRightInd w:val="0"/>
              <w:spacing w:after="0"/>
              <w:ind w:left="348" w:hanging="2"/>
              <w:jc w:val="both"/>
              <w:rPr>
                <w:rFonts w:ascii="Aptos" w:hAnsi="Aptos" w:cstheme="minorHAnsi"/>
                <w:color w:val="0D0D0D"/>
              </w:rPr>
            </w:pPr>
          </w:p>
          <w:p w14:paraId="1396BC85" w14:textId="6EB72511" w:rsidR="00260282" w:rsidRPr="00F61437" w:rsidRDefault="00260282" w:rsidP="00F61437">
            <w:pPr>
              <w:pStyle w:val="ListParagraph"/>
              <w:numPr>
                <w:ilvl w:val="0"/>
                <w:numId w:val="13"/>
              </w:numPr>
              <w:shd w:val="clear" w:color="auto" w:fill="FFFFFF"/>
              <w:autoSpaceDE w:val="0"/>
              <w:autoSpaceDN w:val="0"/>
              <w:adjustRightInd w:val="0"/>
              <w:spacing w:after="0"/>
              <w:ind w:left="353" w:hanging="425"/>
              <w:jc w:val="both"/>
              <w:rPr>
                <w:rFonts w:ascii="Aptos" w:eastAsia="Times New Roman" w:hAnsi="Aptos" w:cstheme="minorHAnsi"/>
                <w:color w:val="0D0D0D"/>
                <w:lang w:eastAsia="en-GB"/>
              </w:rPr>
            </w:pPr>
            <w:r w:rsidRPr="00F61437">
              <w:rPr>
                <w:rFonts w:ascii="Aptos" w:eastAsia="Times New Roman" w:hAnsi="Aptos" w:cs="Arial"/>
                <w:color w:val="0B0C0C"/>
                <w:lang w:eastAsia="en-GB"/>
              </w:rPr>
              <w:t xml:space="preserve">In accordance with the college accounts direction, provide DfE with an annual report on its activities, </w:t>
            </w:r>
            <w:r w:rsidRPr="003247C6">
              <w:rPr>
                <w:rFonts w:ascii="Aptos" w:eastAsia="Times New Roman" w:hAnsi="Aptos" w:cs="Arial"/>
                <w:color w:val="0B0C0C"/>
                <w:lang w:eastAsia="en-GB"/>
              </w:rPr>
              <w:t xml:space="preserve">drawn from the annual </w:t>
            </w:r>
            <w:r w:rsidR="00495B5B" w:rsidRPr="003247C6">
              <w:rPr>
                <w:rFonts w:ascii="Aptos" w:eastAsia="Times New Roman" w:hAnsi="Aptos" w:cs="Arial"/>
                <w:color w:val="0B0C0C"/>
                <w:lang w:eastAsia="en-GB"/>
              </w:rPr>
              <w:t xml:space="preserve">report to the Governing Body and </w:t>
            </w:r>
            <w:r w:rsidRPr="00F61437">
              <w:rPr>
                <w:rFonts w:ascii="Aptos" w:eastAsia="Times New Roman" w:hAnsi="Aptos" w:cs="Arial"/>
                <w:color w:val="0B0C0C"/>
                <w:lang w:eastAsia="en-GB"/>
              </w:rPr>
              <w:t>including an opinion on the effectiveness of the college’s framework of internal control; and submit this with the college’s audited annual report and accounts</w:t>
            </w:r>
          </w:p>
          <w:p w14:paraId="153DA479" w14:textId="77777777" w:rsidR="00194706" w:rsidRPr="003247C6" w:rsidRDefault="00194706" w:rsidP="00F61437">
            <w:pPr>
              <w:pStyle w:val="Default"/>
              <w:jc w:val="both"/>
              <w:rPr>
                <w:rFonts w:ascii="Aptos" w:hAnsi="Aptos" w:cstheme="minorHAnsi"/>
                <w:sz w:val="22"/>
                <w:szCs w:val="22"/>
              </w:rPr>
            </w:pPr>
          </w:p>
          <w:p w14:paraId="78DB720C" w14:textId="078360FD" w:rsidR="00194706" w:rsidRPr="00F61437" w:rsidRDefault="00495B5B" w:rsidP="003247C6">
            <w:pPr>
              <w:pStyle w:val="Default"/>
              <w:ind w:left="318" w:hanging="318"/>
              <w:jc w:val="both"/>
              <w:rPr>
                <w:rFonts w:ascii="Aptos" w:hAnsi="Aptos" w:cstheme="minorHAnsi"/>
                <w:b/>
                <w:bCs/>
                <w:sz w:val="22"/>
                <w:szCs w:val="22"/>
              </w:rPr>
            </w:pPr>
            <w:r w:rsidRPr="003247C6">
              <w:rPr>
                <w:rFonts w:ascii="Aptos" w:hAnsi="Aptos" w:cstheme="minorHAnsi"/>
                <w:b/>
                <w:bCs/>
                <w:sz w:val="22"/>
                <w:szCs w:val="22"/>
              </w:rPr>
              <w:t xml:space="preserve">13 </w:t>
            </w:r>
            <w:r w:rsidR="00194706" w:rsidRPr="003247C6">
              <w:rPr>
                <w:rFonts w:ascii="Aptos" w:hAnsi="Aptos" w:cstheme="minorHAnsi"/>
                <w:sz w:val="22"/>
                <w:szCs w:val="22"/>
              </w:rPr>
              <w:t xml:space="preserve">To oversee the </w:t>
            </w:r>
            <w:r w:rsidR="00FC3952" w:rsidRPr="003247C6">
              <w:rPr>
                <w:rFonts w:ascii="Aptos" w:hAnsi="Aptos" w:cstheme="minorHAnsi"/>
                <w:sz w:val="22"/>
                <w:szCs w:val="22"/>
              </w:rPr>
              <w:t xml:space="preserve">college’s </w:t>
            </w:r>
            <w:r w:rsidR="00194706" w:rsidRPr="003247C6">
              <w:rPr>
                <w:rFonts w:ascii="Aptos" w:hAnsi="Aptos" w:cstheme="minorHAnsi"/>
                <w:sz w:val="22"/>
                <w:szCs w:val="22"/>
              </w:rPr>
              <w:t xml:space="preserve">policies on and processes around fraud, irregularity, impropriety and whistleblowing and ensure: </w:t>
            </w:r>
          </w:p>
          <w:p w14:paraId="15B32A20" w14:textId="77777777"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xml:space="preserve">- </w:t>
            </w:r>
            <w:r w:rsidRPr="003247C6">
              <w:rPr>
                <w:rFonts w:ascii="Aptos" w:hAnsi="Aptos" w:cstheme="minorHAnsi"/>
                <w:color w:val="0D0D0D"/>
              </w:rPr>
              <w:tab/>
              <w:t>the proper, proportionate and independent investigation of all allegations and instances of fraud and irregularity</w:t>
            </w:r>
          </w:p>
          <w:p w14:paraId="1563D988" w14:textId="69ACFA1F"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xml:space="preserve">- </w:t>
            </w:r>
            <w:r w:rsidRPr="003247C6">
              <w:rPr>
                <w:rFonts w:ascii="Aptos" w:hAnsi="Aptos" w:cstheme="minorHAnsi"/>
                <w:color w:val="0D0D0D"/>
              </w:rPr>
              <w:tab/>
              <w:t xml:space="preserve">that investigation outcomes are reported to the Audit </w:t>
            </w:r>
            <w:r w:rsidR="005C5792" w:rsidRPr="003247C6">
              <w:rPr>
                <w:rFonts w:ascii="Aptos" w:hAnsi="Aptos" w:cstheme="minorHAnsi"/>
                <w:color w:val="0D0D0D"/>
              </w:rPr>
              <w:t xml:space="preserve">and Risk </w:t>
            </w:r>
            <w:r w:rsidRPr="003247C6">
              <w:rPr>
                <w:rFonts w:ascii="Aptos" w:hAnsi="Aptos" w:cstheme="minorHAnsi"/>
                <w:color w:val="0D0D0D"/>
              </w:rPr>
              <w:t>Committee</w:t>
            </w:r>
          </w:p>
          <w:p w14:paraId="329CE9F5" w14:textId="77777777"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xml:space="preserve">- </w:t>
            </w:r>
            <w:r w:rsidRPr="003247C6">
              <w:rPr>
                <w:rFonts w:ascii="Aptos" w:hAnsi="Aptos" w:cstheme="minorHAnsi"/>
                <w:color w:val="0D0D0D"/>
              </w:rPr>
              <w:tab/>
              <w:t xml:space="preserve">that the external auditor (and internal auditor if applicable) </w:t>
            </w:r>
            <w:proofErr w:type="gramStart"/>
            <w:r w:rsidRPr="003247C6">
              <w:rPr>
                <w:rFonts w:ascii="Aptos" w:hAnsi="Aptos" w:cstheme="minorHAnsi"/>
                <w:color w:val="0D0D0D"/>
              </w:rPr>
              <w:t>are</w:t>
            </w:r>
            <w:proofErr w:type="gramEnd"/>
            <w:r w:rsidRPr="003247C6">
              <w:rPr>
                <w:rFonts w:ascii="Aptos" w:hAnsi="Aptos" w:cstheme="minorHAnsi"/>
                <w:color w:val="0D0D0D"/>
              </w:rPr>
              <w:t xml:space="preserve"> informed of investigation outcomes and other matters of fraud, irregularity and </w:t>
            </w:r>
            <w:r w:rsidRPr="003247C6">
              <w:rPr>
                <w:rFonts w:ascii="Aptos" w:hAnsi="Aptos" w:cstheme="minorHAnsi"/>
                <w:color w:val="0D0D0D"/>
              </w:rPr>
              <w:lastRenderedPageBreak/>
              <w:t>impropriety, and that appropriate follow-up action has been planned / actioned</w:t>
            </w:r>
          </w:p>
          <w:p w14:paraId="48C834A5" w14:textId="05A4BBB1"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that all significant cases of fraud or suspected fraud, theft, bribery, corruption, irregularity,</w:t>
            </w:r>
            <w:r w:rsidR="00576148" w:rsidRPr="003247C6">
              <w:rPr>
                <w:rFonts w:ascii="Aptos" w:hAnsi="Aptos" w:cstheme="minorHAnsi"/>
                <w:color w:val="0D0D0D"/>
              </w:rPr>
              <w:t xml:space="preserve"> cybercrime,</w:t>
            </w:r>
            <w:r w:rsidRPr="003247C6">
              <w:rPr>
                <w:rFonts w:ascii="Aptos" w:hAnsi="Aptos" w:cstheme="minorHAnsi"/>
                <w:color w:val="0D0D0D"/>
              </w:rPr>
              <w:t xml:space="preserve"> major weakness or breakdown in the accounting or other control framework are reported to the </w:t>
            </w:r>
            <w:r w:rsidR="00F12FB9" w:rsidRPr="003247C6">
              <w:rPr>
                <w:rFonts w:ascii="Aptos" w:hAnsi="Aptos" w:cstheme="minorHAnsi"/>
                <w:color w:val="0D0D0D"/>
              </w:rPr>
              <w:t>DfE</w:t>
            </w:r>
            <w:r w:rsidR="0063706E" w:rsidRPr="003247C6">
              <w:rPr>
                <w:rFonts w:ascii="Aptos" w:hAnsi="Aptos" w:cstheme="minorHAnsi"/>
                <w:color w:val="0D0D0D"/>
              </w:rPr>
              <w:t xml:space="preserve">, and other relevant funding </w:t>
            </w:r>
            <w:r w:rsidR="00F12FB9" w:rsidRPr="003247C6">
              <w:rPr>
                <w:rFonts w:ascii="Aptos" w:hAnsi="Aptos" w:cstheme="minorHAnsi"/>
                <w:color w:val="0D0D0D"/>
              </w:rPr>
              <w:t>authorities</w:t>
            </w:r>
            <w:r w:rsidR="0063706E" w:rsidRPr="003247C6">
              <w:rPr>
                <w:rFonts w:ascii="Aptos" w:hAnsi="Aptos" w:cstheme="minorHAnsi"/>
                <w:color w:val="0D0D0D"/>
              </w:rPr>
              <w:t>,</w:t>
            </w:r>
            <w:r w:rsidRPr="003247C6">
              <w:rPr>
                <w:rFonts w:ascii="Aptos" w:hAnsi="Aptos" w:cstheme="minorHAnsi"/>
                <w:color w:val="0D0D0D"/>
              </w:rPr>
              <w:t xml:space="preserve"> as soon as possible</w:t>
            </w:r>
          </w:p>
          <w:p w14:paraId="43987336" w14:textId="77777777" w:rsidR="00194706" w:rsidRPr="003247C6" w:rsidRDefault="00194706" w:rsidP="003247C6">
            <w:pPr>
              <w:autoSpaceDE w:val="0"/>
              <w:autoSpaceDN w:val="0"/>
              <w:adjustRightInd w:val="0"/>
              <w:spacing w:after="0"/>
              <w:ind w:left="488" w:hanging="142"/>
              <w:jc w:val="both"/>
              <w:rPr>
                <w:rFonts w:ascii="Aptos" w:hAnsi="Aptos" w:cstheme="minorHAnsi"/>
                <w:color w:val="0D0D0D"/>
              </w:rPr>
            </w:pPr>
            <w:r w:rsidRPr="003247C6">
              <w:rPr>
                <w:rFonts w:ascii="Aptos" w:hAnsi="Aptos" w:cstheme="minorHAnsi"/>
                <w:color w:val="0D0D0D"/>
              </w:rPr>
              <w:t>- that risks around fraud have been identified and controls put in place to mitigate them</w:t>
            </w:r>
          </w:p>
          <w:p w14:paraId="1011F85B" w14:textId="77777777" w:rsidR="007E4DAF" w:rsidRPr="003247C6" w:rsidRDefault="007E4DAF" w:rsidP="003247C6">
            <w:pPr>
              <w:autoSpaceDE w:val="0"/>
              <w:autoSpaceDN w:val="0"/>
              <w:adjustRightInd w:val="0"/>
              <w:spacing w:after="0"/>
              <w:ind w:left="488" w:hanging="142"/>
              <w:jc w:val="both"/>
              <w:rPr>
                <w:rFonts w:ascii="Aptos" w:hAnsi="Aptos" w:cstheme="minorHAnsi"/>
                <w:color w:val="0D0D0D"/>
              </w:rPr>
            </w:pPr>
          </w:p>
          <w:p w14:paraId="001EE33F" w14:textId="527EF169" w:rsidR="001F6CB1" w:rsidRPr="003247C6" w:rsidRDefault="007E4DAF" w:rsidP="003247C6">
            <w:pPr>
              <w:tabs>
                <w:tab w:val="left" w:pos="353"/>
              </w:tabs>
              <w:autoSpaceDE w:val="0"/>
              <w:autoSpaceDN w:val="0"/>
              <w:adjustRightInd w:val="0"/>
              <w:spacing w:after="0"/>
              <w:ind w:left="344" w:hanging="344"/>
              <w:jc w:val="both"/>
              <w:rPr>
                <w:rFonts w:ascii="Aptos" w:hAnsi="Aptos" w:cstheme="minorHAnsi"/>
                <w:color w:val="0D0D0D"/>
              </w:rPr>
            </w:pPr>
            <w:r w:rsidRPr="00F61437">
              <w:rPr>
                <w:rFonts w:ascii="Aptos" w:hAnsi="Aptos" w:cstheme="minorHAnsi"/>
                <w:b/>
                <w:bCs/>
                <w:color w:val="0D0D0D"/>
              </w:rPr>
              <w:t>1</w:t>
            </w:r>
            <w:r w:rsidR="00C154CC" w:rsidRPr="003247C6">
              <w:rPr>
                <w:rFonts w:ascii="Aptos" w:hAnsi="Aptos" w:cstheme="minorHAnsi"/>
                <w:b/>
                <w:bCs/>
                <w:color w:val="0D0D0D"/>
              </w:rPr>
              <w:t>4</w:t>
            </w:r>
            <w:r w:rsidRPr="003247C6">
              <w:rPr>
                <w:rFonts w:ascii="Aptos" w:hAnsi="Aptos" w:cstheme="minorHAnsi"/>
                <w:color w:val="0D0D0D"/>
              </w:rPr>
              <w:tab/>
              <w:t xml:space="preserve">To monitor </w:t>
            </w:r>
            <w:r w:rsidR="00F32F4D" w:rsidRPr="003247C6">
              <w:rPr>
                <w:rFonts w:ascii="Aptos" w:hAnsi="Aptos" w:cstheme="minorHAnsi"/>
                <w:color w:val="0D0D0D"/>
              </w:rPr>
              <w:t xml:space="preserve">compliance with General Data Protection and Freedom of Information Regulations, including monitoring breaches, action taken and </w:t>
            </w:r>
            <w:r w:rsidR="001F6CB1" w:rsidRPr="003247C6">
              <w:rPr>
                <w:rFonts w:ascii="Aptos" w:hAnsi="Aptos" w:cstheme="minorHAnsi"/>
                <w:color w:val="0D0D0D"/>
              </w:rPr>
              <w:t>approving relevant policies</w:t>
            </w:r>
          </w:p>
          <w:p w14:paraId="52661BE4" w14:textId="77777777" w:rsidR="001F6CB1" w:rsidRPr="003247C6" w:rsidRDefault="001F6CB1" w:rsidP="003247C6">
            <w:pPr>
              <w:tabs>
                <w:tab w:val="left" w:pos="353"/>
              </w:tabs>
              <w:autoSpaceDE w:val="0"/>
              <w:autoSpaceDN w:val="0"/>
              <w:adjustRightInd w:val="0"/>
              <w:spacing w:after="0"/>
              <w:jc w:val="both"/>
              <w:rPr>
                <w:rFonts w:ascii="Aptos" w:hAnsi="Aptos" w:cstheme="minorHAnsi"/>
                <w:color w:val="0D0D0D"/>
              </w:rPr>
            </w:pPr>
          </w:p>
          <w:p w14:paraId="628899EC" w14:textId="77777777" w:rsidR="00462129" w:rsidRDefault="001F6CB1" w:rsidP="00462129">
            <w:pPr>
              <w:tabs>
                <w:tab w:val="left" w:pos="353"/>
              </w:tabs>
              <w:autoSpaceDE w:val="0"/>
              <w:autoSpaceDN w:val="0"/>
              <w:adjustRightInd w:val="0"/>
              <w:spacing w:after="0"/>
              <w:ind w:left="344" w:hanging="344"/>
              <w:jc w:val="both"/>
              <w:rPr>
                <w:rFonts w:ascii="Aptos" w:hAnsi="Aptos" w:cstheme="minorHAnsi"/>
                <w:color w:val="0D0D0D"/>
              </w:rPr>
            </w:pPr>
            <w:r w:rsidRPr="00F61437">
              <w:rPr>
                <w:rFonts w:ascii="Aptos" w:hAnsi="Aptos" w:cstheme="minorHAnsi"/>
                <w:b/>
                <w:bCs/>
                <w:color w:val="0D0D0D"/>
              </w:rPr>
              <w:t>1</w:t>
            </w:r>
            <w:r w:rsidR="00C154CC" w:rsidRPr="003247C6">
              <w:rPr>
                <w:rFonts w:ascii="Aptos" w:hAnsi="Aptos" w:cstheme="minorHAnsi"/>
                <w:b/>
                <w:bCs/>
                <w:color w:val="0D0D0D"/>
              </w:rPr>
              <w:t>5</w:t>
            </w:r>
            <w:r w:rsidRPr="003247C6">
              <w:rPr>
                <w:rFonts w:ascii="Aptos" w:hAnsi="Aptos" w:cstheme="minorHAnsi"/>
                <w:b/>
                <w:bCs/>
                <w:color w:val="0D0D0D"/>
              </w:rPr>
              <w:t xml:space="preserve"> </w:t>
            </w:r>
            <w:r w:rsidRPr="00F61437">
              <w:rPr>
                <w:rFonts w:ascii="Aptos" w:hAnsi="Aptos" w:cstheme="minorHAnsi"/>
                <w:color w:val="0D0D0D"/>
              </w:rPr>
              <w:t>To support the</w:t>
            </w:r>
            <w:r w:rsidR="00805B6B" w:rsidRPr="003247C6">
              <w:rPr>
                <w:rFonts w:ascii="Aptos" w:hAnsi="Aptos" w:cstheme="minorHAnsi"/>
                <w:color w:val="0D0D0D"/>
              </w:rPr>
              <w:t xml:space="preserve"> FE Corporation in ensuring the </w:t>
            </w:r>
            <w:proofErr w:type="spellStart"/>
            <w:r w:rsidR="00805B6B" w:rsidRPr="003247C6">
              <w:rPr>
                <w:rFonts w:ascii="Aptos" w:hAnsi="Aptos" w:cstheme="minorHAnsi"/>
                <w:color w:val="0D0D0D"/>
              </w:rPr>
              <w:t>Etc.’s</w:t>
            </w:r>
            <w:proofErr w:type="spellEnd"/>
            <w:r w:rsidR="00805B6B" w:rsidRPr="003247C6">
              <w:rPr>
                <w:rFonts w:ascii="Aptos" w:hAnsi="Aptos" w:cstheme="minorHAnsi"/>
                <w:color w:val="0D0D0D"/>
              </w:rPr>
              <w:t xml:space="preserve"> assets are safeguarded</w:t>
            </w:r>
            <w:r w:rsidR="00D15D47" w:rsidRPr="003247C6">
              <w:rPr>
                <w:rFonts w:ascii="Aptos" w:hAnsi="Aptos" w:cstheme="minorHAnsi"/>
                <w:color w:val="0D0D0D"/>
              </w:rPr>
              <w:t xml:space="preserve">, </w:t>
            </w:r>
            <w:r w:rsidR="00495B5B" w:rsidRPr="003247C6">
              <w:rPr>
                <w:rFonts w:ascii="Aptos" w:hAnsi="Aptos" w:cstheme="minorHAnsi"/>
                <w:color w:val="0D0D0D"/>
              </w:rPr>
              <w:t xml:space="preserve">for example, </w:t>
            </w:r>
            <w:r w:rsidR="00D15D47" w:rsidRPr="003247C6">
              <w:rPr>
                <w:rFonts w:ascii="Aptos" w:hAnsi="Aptos" w:cstheme="minorHAnsi"/>
                <w:color w:val="0D0D0D"/>
              </w:rPr>
              <w:t xml:space="preserve">by reviewing and agreeing relevant </w:t>
            </w:r>
            <w:r w:rsidR="00495B5B" w:rsidRPr="003247C6">
              <w:rPr>
                <w:rFonts w:ascii="Aptos" w:hAnsi="Aptos" w:cstheme="minorHAnsi"/>
                <w:color w:val="0D0D0D"/>
              </w:rPr>
              <w:t xml:space="preserve">policies, such as the </w:t>
            </w:r>
            <w:r w:rsidR="00C154CC" w:rsidRPr="003247C6">
              <w:rPr>
                <w:rFonts w:ascii="Aptos" w:hAnsi="Aptos" w:cstheme="minorHAnsi"/>
                <w:color w:val="0D0D0D"/>
              </w:rPr>
              <w:t xml:space="preserve">Group </w:t>
            </w:r>
            <w:r w:rsidR="00495B5B" w:rsidRPr="003247C6">
              <w:rPr>
                <w:rFonts w:ascii="Aptos" w:hAnsi="Aptos" w:cstheme="minorHAnsi"/>
                <w:color w:val="0D0D0D"/>
              </w:rPr>
              <w:t>Emergency Plan</w:t>
            </w:r>
            <w:r w:rsidR="00C154CC" w:rsidRPr="003247C6">
              <w:rPr>
                <w:rFonts w:ascii="Aptos" w:hAnsi="Aptos" w:cstheme="minorHAnsi"/>
                <w:color w:val="0D0D0D"/>
              </w:rPr>
              <w:t xml:space="preserve"> and the Conflicts of Interest Policy</w:t>
            </w:r>
            <w:r w:rsidR="00495B5B" w:rsidRPr="003247C6">
              <w:rPr>
                <w:rFonts w:ascii="Aptos" w:hAnsi="Aptos" w:cstheme="minorHAnsi"/>
                <w:color w:val="0D0D0D"/>
              </w:rPr>
              <w:t>.</w:t>
            </w:r>
          </w:p>
          <w:p w14:paraId="0ABA0594" w14:textId="77777777" w:rsidR="00462129" w:rsidRDefault="00462129" w:rsidP="00462129">
            <w:pPr>
              <w:tabs>
                <w:tab w:val="left" w:pos="353"/>
              </w:tabs>
              <w:autoSpaceDE w:val="0"/>
              <w:autoSpaceDN w:val="0"/>
              <w:adjustRightInd w:val="0"/>
              <w:spacing w:after="0"/>
              <w:ind w:left="344" w:hanging="344"/>
              <w:jc w:val="both"/>
              <w:rPr>
                <w:rFonts w:ascii="Aptos" w:hAnsi="Aptos" w:cstheme="minorHAnsi"/>
                <w:b/>
                <w:bCs/>
              </w:rPr>
            </w:pPr>
          </w:p>
          <w:p w14:paraId="5CC674B1" w14:textId="721780ED" w:rsidR="006B6135" w:rsidRPr="00D63434" w:rsidRDefault="006B6135" w:rsidP="00462129">
            <w:pPr>
              <w:tabs>
                <w:tab w:val="left" w:pos="353"/>
              </w:tabs>
              <w:autoSpaceDE w:val="0"/>
              <w:autoSpaceDN w:val="0"/>
              <w:adjustRightInd w:val="0"/>
              <w:spacing w:after="0"/>
              <w:ind w:left="344" w:hanging="344"/>
              <w:jc w:val="both"/>
              <w:rPr>
                <w:rFonts w:ascii="Aptos" w:hAnsi="Aptos" w:cstheme="minorHAnsi"/>
                <w:color w:val="0D0D0D"/>
              </w:rPr>
            </w:pPr>
            <w:r w:rsidRPr="003247C6">
              <w:rPr>
                <w:rFonts w:ascii="Aptos" w:hAnsi="Aptos" w:cstheme="minorHAnsi"/>
                <w:b/>
                <w:bCs/>
              </w:rPr>
              <w:t xml:space="preserve">16 </w:t>
            </w:r>
            <w:r w:rsidRPr="00D63434">
              <w:rPr>
                <w:rFonts w:ascii="Aptos" w:hAnsi="Aptos" w:cstheme="minorHAnsi"/>
              </w:rPr>
              <w:t xml:space="preserve">To support and advise the FE Corporation in relation to the effectiveness of risk management processes including: </w:t>
            </w:r>
          </w:p>
          <w:p w14:paraId="4477A3C2" w14:textId="77777777" w:rsidR="006B6135" w:rsidRPr="00D63434" w:rsidRDefault="006B6135" w:rsidP="00462129">
            <w:pPr>
              <w:pStyle w:val="Default"/>
              <w:numPr>
                <w:ilvl w:val="0"/>
                <w:numId w:val="14"/>
              </w:numPr>
              <w:ind w:left="486" w:hanging="142"/>
              <w:jc w:val="both"/>
              <w:rPr>
                <w:rFonts w:ascii="Aptos" w:hAnsi="Aptos" w:cstheme="minorHAnsi"/>
                <w:sz w:val="22"/>
                <w:szCs w:val="22"/>
              </w:rPr>
            </w:pPr>
            <w:r w:rsidRPr="00D63434">
              <w:rPr>
                <w:rFonts w:ascii="Aptos" w:hAnsi="Aptos" w:cstheme="minorHAnsi"/>
                <w:sz w:val="22"/>
                <w:szCs w:val="22"/>
              </w:rPr>
              <w:t>considering and recommending approval of the group’s Risk Management Strategy</w:t>
            </w:r>
          </w:p>
          <w:p w14:paraId="7257A572" w14:textId="07516631" w:rsidR="00DF359E" w:rsidRPr="00D63434" w:rsidRDefault="006B6135" w:rsidP="00462129">
            <w:pPr>
              <w:pStyle w:val="Default"/>
              <w:numPr>
                <w:ilvl w:val="0"/>
                <w:numId w:val="14"/>
              </w:numPr>
              <w:ind w:left="486" w:hanging="142"/>
              <w:jc w:val="both"/>
              <w:rPr>
                <w:rFonts w:ascii="Aptos" w:hAnsi="Aptos" w:cstheme="minorHAnsi"/>
                <w:sz w:val="22"/>
                <w:szCs w:val="22"/>
              </w:rPr>
            </w:pPr>
            <w:r w:rsidRPr="00D63434">
              <w:rPr>
                <w:rFonts w:ascii="Aptos" w:hAnsi="Aptos" w:cstheme="minorHAnsi"/>
                <w:sz w:val="22"/>
                <w:szCs w:val="22"/>
              </w:rPr>
              <w:t>regularly reviewing the Etc. Strategic Risk Register</w:t>
            </w:r>
            <w:r w:rsidR="00DF359E" w:rsidRPr="00D63434">
              <w:rPr>
                <w:rFonts w:ascii="Aptos" w:hAnsi="Aptos" w:cstheme="minorHAnsi"/>
                <w:sz w:val="22"/>
                <w:szCs w:val="22"/>
              </w:rPr>
              <w:t xml:space="preserve"> </w:t>
            </w:r>
            <w:r w:rsidR="00DF359E" w:rsidRPr="00D63434">
              <w:rPr>
                <w:rFonts w:ascii="Aptos" w:hAnsi="Aptos" w:cstheme="minorHAnsi"/>
                <w:sz w:val="22"/>
                <w:szCs w:val="22"/>
              </w:rPr>
              <w:t xml:space="preserve">and reporting to Corporation on the overall adequacy of this </w:t>
            </w:r>
          </w:p>
          <w:p w14:paraId="2773020C" w14:textId="77777777" w:rsidR="00DF359E" w:rsidRPr="00F61437" w:rsidRDefault="00DF359E" w:rsidP="00462129">
            <w:pPr>
              <w:pStyle w:val="Default"/>
              <w:numPr>
                <w:ilvl w:val="0"/>
                <w:numId w:val="14"/>
              </w:numPr>
              <w:ind w:left="486" w:hanging="142"/>
              <w:jc w:val="both"/>
              <w:rPr>
                <w:rFonts w:ascii="Aptos" w:hAnsi="Aptos" w:cstheme="minorHAnsi"/>
                <w:sz w:val="22"/>
                <w:szCs w:val="22"/>
              </w:rPr>
            </w:pPr>
            <w:r w:rsidRPr="00F61437">
              <w:rPr>
                <w:rFonts w:ascii="Aptos" w:hAnsi="Aptos" w:cstheme="minorHAnsi"/>
                <w:sz w:val="22"/>
                <w:szCs w:val="22"/>
              </w:rPr>
              <w:t>advising Corporation on Risk Appetite and highlighting to Corporation when strategic risks exceed appetite</w:t>
            </w:r>
          </w:p>
          <w:p w14:paraId="0222551D" w14:textId="77777777" w:rsidR="00DF359E" w:rsidRPr="00F61437" w:rsidRDefault="00DF359E" w:rsidP="00462129">
            <w:pPr>
              <w:pStyle w:val="Default"/>
              <w:numPr>
                <w:ilvl w:val="0"/>
                <w:numId w:val="14"/>
              </w:numPr>
              <w:ind w:left="486" w:hanging="142"/>
              <w:jc w:val="both"/>
              <w:rPr>
                <w:rFonts w:ascii="Aptos" w:hAnsi="Aptos" w:cstheme="minorHAnsi"/>
                <w:sz w:val="22"/>
                <w:szCs w:val="22"/>
              </w:rPr>
            </w:pPr>
            <w:r w:rsidRPr="00F61437">
              <w:rPr>
                <w:rFonts w:ascii="Aptos" w:hAnsi="Aptos" w:cstheme="minorHAnsi"/>
                <w:sz w:val="22"/>
                <w:szCs w:val="22"/>
              </w:rPr>
              <w:t>receiving periodic reports in respect of specific corporate risk</w:t>
            </w:r>
          </w:p>
          <w:p w14:paraId="7A27E956" w14:textId="77777777" w:rsidR="00DF359E" w:rsidRPr="00F61437" w:rsidRDefault="00DF359E" w:rsidP="00F61437">
            <w:pPr>
              <w:pStyle w:val="Default"/>
              <w:numPr>
                <w:ilvl w:val="0"/>
                <w:numId w:val="14"/>
              </w:numPr>
              <w:tabs>
                <w:tab w:val="left" w:pos="353"/>
              </w:tabs>
              <w:ind w:left="486" w:hanging="142"/>
              <w:jc w:val="both"/>
              <w:rPr>
                <w:rFonts w:ascii="Aptos" w:hAnsi="Aptos" w:cstheme="minorHAnsi"/>
                <w:b/>
                <w:bCs/>
                <w:color w:val="0D0D0D"/>
              </w:rPr>
            </w:pPr>
            <w:r w:rsidRPr="00F61437">
              <w:rPr>
                <w:rFonts w:ascii="Aptos" w:hAnsi="Aptos" w:cstheme="minorHAnsi"/>
                <w:sz w:val="22"/>
                <w:szCs w:val="22"/>
              </w:rPr>
              <w:t xml:space="preserve">monitoring feedback from Corporation committees in respect of </w:t>
            </w:r>
            <w:r w:rsidRPr="00D63434">
              <w:rPr>
                <w:rFonts w:ascii="Aptos" w:hAnsi="Aptos" w:cstheme="minorHAnsi"/>
                <w:sz w:val="22"/>
                <w:szCs w:val="22"/>
              </w:rPr>
              <w:t xml:space="preserve">specific delegated corporate risks </w:t>
            </w:r>
            <w:r w:rsidRPr="00D63434">
              <w:rPr>
                <w:rFonts w:ascii="Aptos" w:hAnsi="Aptos" w:cstheme="minorHAnsi"/>
                <w:color w:val="0D0D0D"/>
                <w:sz w:val="22"/>
                <w:szCs w:val="22"/>
              </w:rPr>
              <w:t xml:space="preserve"> </w:t>
            </w:r>
            <w:r w:rsidRPr="00D63434">
              <w:rPr>
                <w:rFonts w:ascii="Aptos" w:hAnsi="Aptos" w:cstheme="minorHAnsi"/>
                <w:b/>
                <w:bCs/>
                <w:color w:val="0D0D0D"/>
                <w:sz w:val="22"/>
                <w:szCs w:val="22"/>
              </w:rPr>
              <w:t xml:space="preserve"> </w:t>
            </w:r>
            <w:r w:rsidRPr="00F61437">
              <w:rPr>
                <w:rFonts w:ascii="Aptos" w:hAnsi="Aptos" w:cstheme="minorHAnsi"/>
                <w:b/>
                <w:bCs/>
                <w:color w:val="0D0D0D"/>
                <w:sz w:val="22"/>
                <w:szCs w:val="22"/>
              </w:rPr>
              <w:t xml:space="preserve"> </w:t>
            </w:r>
          </w:p>
          <w:p w14:paraId="0108DFCB" w14:textId="77777777" w:rsidR="00DF359E" w:rsidRPr="003247C6" w:rsidRDefault="00DF359E" w:rsidP="00462129">
            <w:pPr>
              <w:pStyle w:val="Default"/>
              <w:ind w:left="628"/>
              <w:jc w:val="both"/>
              <w:rPr>
                <w:rFonts w:ascii="Aptos" w:hAnsi="Aptos" w:cstheme="minorHAnsi"/>
                <w:sz w:val="22"/>
                <w:szCs w:val="22"/>
              </w:rPr>
            </w:pPr>
          </w:p>
          <w:p w14:paraId="786A0592" w14:textId="59E4C761" w:rsidR="00194706" w:rsidRDefault="00194706" w:rsidP="003247C6">
            <w:pPr>
              <w:pStyle w:val="Default"/>
              <w:ind w:left="344" w:hanging="344"/>
              <w:jc w:val="both"/>
              <w:rPr>
                <w:rFonts w:ascii="Aptos" w:hAnsi="Aptos" w:cstheme="minorHAnsi"/>
                <w:sz w:val="22"/>
                <w:szCs w:val="22"/>
              </w:rPr>
            </w:pPr>
          </w:p>
          <w:p w14:paraId="1664B624" w14:textId="77777777" w:rsidR="00194706" w:rsidRPr="003247C6" w:rsidRDefault="00194706" w:rsidP="00F61437">
            <w:pPr>
              <w:pStyle w:val="Default"/>
              <w:jc w:val="both"/>
              <w:rPr>
                <w:rFonts w:ascii="Aptos" w:hAnsi="Aptos" w:cstheme="minorHAnsi"/>
                <w:sz w:val="22"/>
                <w:szCs w:val="22"/>
              </w:rPr>
            </w:pPr>
          </w:p>
        </w:tc>
      </w:tr>
    </w:tbl>
    <w:p w14:paraId="66A28549" w14:textId="77777777" w:rsidR="001F170E" w:rsidRPr="003247C6" w:rsidRDefault="001F170E" w:rsidP="00F61437">
      <w:pPr>
        <w:tabs>
          <w:tab w:val="left" w:pos="284"/>
        </w:tabs>
        <w:suppressAutoHyphens/>
        <w:spacing w:after="0"/>
        <w:jc w:val="center"/>
        <w:rPr>
          <w:rFonts w:ascii="Aptos" w:hAnsi="Aptos" w:cstheme="minorHAnsi"/>
          <w:b/>
          <w:u w:val="single"/>
        </w:rPr>
      </w:pPr>
    </w:p>
    <w:p w14:paraId="24461A05" w14:textId="77777777" w:rsidR="005B358E" w:rsidRPr="003247C6" w:rsidRDefault="005B358E" w:rsidP="00F61437">
      <w:pPr>
        <w:tabs>
          <w:tab w:val="left" w:pos="851"/>
        </w:tabs>
        <w:spacing w:after="0"/>
        <w:jc w:val="both"/>
        <w:rPr>
          <w:rFonts w:ascii="Aptos" w:hAnsi="Aptos" w:cstheme="minorHAnsi"/>
        </w:rPr>
      </w:pPr>
    </w:p>
    <w:sectPr w:rsidR="005B358E" w:rsidRPr="003247C6" w:rsidSect="007D2CB4">
      <w:footerReference w:type="default" r:id="rId11"/>
      <w:pgSz w:w="11906" w:h="16838"/>
      <w:pgMar w:top="851"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653C" w14:textId="77777777" w:rsidR="005D2010" w:rsidRDefault="005D2010" w:rsidP="00C9093A">
      <w:pPr>
        <w:spacing w:after="0"/>
      </w:pPr>
      <w:r>
        <w:separator/>
      </w:r>
    </w:p>
  </w:endnote>
  <w:endnote w:type="continuationSeparator" w:id="0">
    <w:p w14:paraId="2C472B8B" w14:textId="77777777" w:rsidR="005D2010" w:rsidRDefault="005D2010" w:rsidP="00C9093A">
      <w:pPr>
        <w:spacing w:after="0"/>
      </w:pPr>
      <w:r>
        <w:continuationSeparator/>
      </w:r>
    </w:p>
  </w:endnote>
  <w:endnote w:type="continuationNotice" w:id="1">
    <w:p w14:paraId="58F4F77C" w14:textId="77777777" w:rsidR="005D2010" w:rsidRDefault="005D2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SMe-Bold">
    <w:altName w:val="Times New Roman"/>
    <w:charset w:val="4D"/>
    <w:family w:val="auto"/>
    <w:pitch w:val="default"/>
  </w:font>
  <w:font w:name="Times-Roman">
    <w:altName w:val="Times New Roman"/>
    <w:charset w:val="4D"/>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Calibri"/>
        <w:sz w:val="24"/>
        <w:szCs w:val="20"/>
        <w:lang w:eastAsia="ar-SA"/>
      </w:rPr>
      <w:id w:val="1173377670"/>
      <w:docPartObj>
        <w:docPartGallery w:val="Page Numbers (Bottom of Page)"/>
        <w:docPartUnique/>
      </w:docPartObj>
    </w:sdtPr>
    <w:sdtEndPr>
      <w:rPr>
        <w:rFonts w:asciiTheme="minorHAnsi" w:hAnsiTheme="minorHAnsi"/>
        <w:noProof/>
        <w:sz w:val="16"/>
        <w:szCs w:val="16"/>
      </w:rPr>
    </w:sdtEndPr>
    <w:sdtContent>
      <w:p w14:paraId="077A58DE" w14:textId="08B99BB7" w:rsidR="000353D3" w:rsidRPr="00C9093A" w:rsidRDefault="005D2010" w:rsidP="00C9093A">
        <w:pPr>
          <w:suppressLineNumbers/>
          <w:tabs>
            <w:tab w:val="center" w:pos="4819"/>
            <w:tab w:val="right" w:pos="9638"/>
          </w:tabs>
          <w:suppressAutoHyphens/>
          <w:spacing w:after="0"/>
          <w:jc w:val="right"/>
          <w:rPr>
            <w:rFonts w:asciiTheme="minorHAnsi" w:eastAsia="Times New Roman" w:hAnsiTheme="minorHAnsi" w:cs="Calibri"/>
            <w:sz w:val="16"/>
            <w:szCs w:val="16"/>
            <w:lang w:eastAsia="ar-SA"/>
          </w:rPr>
        </w:pPr>
      </w:p>
    </w:sdtContent>
  </w:sdt>
  <w:p w14:paraId="7BB001BB" w14:textId="70A25C6A" w:rsidR="000353D3" w:rsidRPr="00C9093A" w:rsidRDefault="000353D3" w:rsidP="00C9093A">
    <w:pPr>
      <w:widowControl w:val="0"/>
      <w:suppressAutoHyphens/>
      <w:autoSpaceDE w:val="0"/>
      <w:spacing w:after="0" w:line="288" w:lineRule="auto"/>
      <w:jc w:val="center"/>
      <w:textAlignment w:val="center"/>
      <w:rPr>
        <w:rFonts w:asciiTheme="minorHAnsi" w:eastAsia="Times-Roman" w:hAnsiTheme="minorHAnsi" w:cs="Times-Roman"/>
        <w:color w:val="000000"/>
        <w:sz w:val="18"/>
        <w:szCs w:val="18"/>
        <w:lang w:val="en-US" w:eastAsia="hi-IN" w:bidi="hi-IN"/>
      </w:rPr>
    </w:pPr>
    <w:r>
      <w:rPr>
        <w:rFonts w:asciiTheme="minorHAnsi" w:eastAsia="FSMe-Bold" w:hAnsiTheme="minorHAnsi" w:cs="FSMe-Bold"/>
        <w:bCs/>
        <w:color w:val="808080"/>
        <w:sz w:val="18"/>
        <w:szCs w:val="18"/>
        <w:lang w:val="en-US" w:eastAsia="hi-IN" w:bidi="hi-IN"/>
      </w:rPr>
      <w:t>Education Training Collective</w:t>
    </w:r>
    <w:r w:rsidRPr="00C9093A">
      <w:rPr>
        <w:rFonts w:asciiTheme="minorHAnsi" w:eastAsia="FSMe-Bold" w:hAnsiTheme="minorHAnsi" w:cs="FSMe-Bold"/>
        <w:bCs/>
        <w:color w:val="808080"/>
        <w:sz w:val="18"/>
        <w:szCs w:val="18"/>
        <w:lang w:val="en-US" w:eastAsia="hi-IN" w:bidi="hi-IN"/>
      </w:rPr>
      <w:t xml:space="preserve"> • Harvard Avenue • </w:t>
    </w:r>
    <w:r>
      <w:rPr>
        <w:rFonts w:asciiTheme="minorHAnsi" w:eastAsia="FSMe-Bold" w:hAnsiTheme="minorHAnsi" w:cs="FSMe-Bold"/>
        <w:bCs/>
        <w:color w:val="808080"/>
        <w:sz w:val="18"/>
        <w:szCs w:val="18"/>
        <w:lang w:val="en-US" w:eastAsia="hi-IN" w:bidi="hi-IN"/>
      </w:rPr>
      <w:t>Thornaby •</w:t>
    </w:r>
    <w:r w:rsidRPr="00C9093A">
      <w:rPr>
        <w:rFonts w:asciiTheme="minorHAnsi" w:eastAsia="FSMe-Bold" w:hAnsiTheme="minorHAnsi" w:cs="FSMe-Bold"/>
        <w:bCs/>
        <w:color w:val="808080"/>
        <w:sz w:val="18"/>
        <w:szCs w:val="18"/>
        <w:lang w:val="en-US" w:eastAsia="hi-IN" w:bidi="hi-IN"/>
      </w:rPr>
      <w:t>Stockton-on-Tees • TS17 6FB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12A4" w14:textId="77777777" w:rsidR="005D2010" w:rsidRDefault="005D2010" w:rsidP="00C9093A">
      <w:pPr>
        <w:spacing w:after="0"/>
      </w:pPr>
      <w:r>
        <w:separator/>
      </w:r>
    </w:p>
  </w:footnote>
  <w:footnote w:type="continuationSeparator" w:id="0">
    <w:p w14:paraId="5DC82059" w14:textId="77777777" w:rsidR="005D2010" w:rsidRDefault="005D2010" w:rsidP="00C9093A">
      <w:pPr>
        <w:spacing w:after="0"/>
      </w:pPr>
      <w:r>
        <w:continuationSeparator/>
      </w:r>
    </w:p>
  </w:footnote>
  <w:footnote w:type="continuationNotice" w:id="1">
    <w:p w14:paraId="1B9CD573" w14:textId="77777777" w:rsidR="005D2010" w:rsidRDefault="005D2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0513"/>
    <w:multiLevelType w:val="hybridMultilevel"/>
    <w:tmpl w:val="D6C03C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23252"/>
    <w:multiLevelType w:val="multilevel"/>
    <w:tmpl w:val="8F5AE9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25125230"/>
    <w:multiLevelType w:val="hybridMultilevel"/>
    <w:tmpl w:val="02B8A010"/>
    <w:lvl w:ilvl="0" w:tplc="14EAC5C2">
      <w:start w:val="18"/>
      <w:numFmt w:val="bullet"/>
      <w:lvlText w:val="-"/>
      <w:lvlJc w:val="left"/>
      <w:pPr>
        <w:ind w:left="1440" w:hanging="360"/>
      </w:pPr>
      <w:rPr>
        <w:rFonts w:ascii="Calibri" w:eastAsia="Times New Roman"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5612287"/>
    <w:multiLevelType w:val="hybridMultilevel"/>
    <w:tmpl w:val="7B3E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64EC8"/>
    <w:multiLevelType w:val="hybridMultilevel"/>
    <w:tmpl w:val="C714F456"/>
    <w:lvl w:ilvl="0" w:tplc="CB005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5131D"/>
    <w:multiLevelType w:val="hybridMultilevel"/>
    <w:tmpl w:val="D8083378"/>
    <w:lvl w:ilvl="0" w:tplc="6AC6A238">
      <w:start w:val="1"/>
      <w:numFmt w:val="lowerRoman"/>
      <w:lvlText w:val="%1)"/>
      <w:lvlJc w:val="left"/>
      <w:pPr>
        <w:ind w:left="759" w:hanging="720"/>
      </w:pPr>
      <w:rPr>
        <w:rFonts w:hint="default"/>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abstractNum w:abstractNumId="6" w15:restartNumberingAfterBreak="0">
    <w:nsid w:val="355D5CC6"/>
    <w:multiLevelType w:val="multilevel"/>
    <w:tmpl w:val="8F5AE9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38FD02F7"/>
    <w:multiLevelType w:val="hybridMultilevel"/>
    <w:tmpl w:val="BAB65FB4"/>
    <w:lvl w:ilvl="0" w:tplc="12C0CFA6">
      <w:start w:val="12"/>
      <w:numFmt w:val="decimal"/>
      <w:lvlText w:val="%1"/>
      <w:lvlJc w:val="left"/>
      <w:pPr>
        <w:ind w:left="720" w:hanging="360"/>
      </w:pPr>
      <w:rPr>
        <w:rFonts w:cs="Arial"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1328A"/>
    <w:multiLevelType w:val="hybridMultilevel"/>
    <w:tmpl w:val="5B74C654"/>
    <w:lvl w:ilvl="0" w:tplc="3530CC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9178B"/>
    <w:multiLevelType w:val="hybridMultilevel"/>
    <w:tmpl w:val="4D00531E"/>
    <w:lvl w:ilvl="0" w:tplc="14EAC5C2">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B3303"/>
    <w:multiLevelType w:val="hybridMultilevel"/>
    <w:tmpl w:val="5B74C654"/>
    <w:lvl w:ilvl="0" w:tplc="3530CC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A09EE"/>
    <w:multiLevelType w:val="hybridMultilevel"/>
    <w:tmpl w:val="1E2CD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B85E41"/>
    <w:multiLevelType w:val="hybridMultilevel"/>
    <w:tmpl w:val="53FE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B3997"/>
    <w:multiLevelType w:val="hybridMultilevel"/>
    <w:tmpl w:val="F1B0B030"/>
    <w:lvl w:ilvl="0" w:tplc="49CA2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122945">
    <w:abstractNumId w:val="4"/>
  </w:num>
  <w:num w:numId="2" w16cid:durableId="817460055">
    <w:abstractNumId w:val="8"/>
  </w:num>
  <w:num w:numId="3" w16cid:durableId="191261654">
    <w:abstractNumId w:val="13"/>
  </w:num>
  <w:num w:numId="4" w16cid:durableId="926693966">
    <w:abstractNumId w:val="10"/>
  </w:num>
  <w:num w:numId="5" w16cid:durableId="790825986">
    <w:abstractNumId w:val="12"/>
  </w:num>
  <w:num w:numId="6" w16cid:durableId="1818180074">
    <w:abstractNumId w:val="0"/>
  </w:num>
  <w:num w:numId="7" w16cid:durableId="630288419">
    <w:abstractNumId w:val="3"/>
  </w:num>
  <w:num w:numId="8" w16cid:durableId="886644525">
    <w:abstractNumId w:val="9"/>
  </w:num>
  <w:num w:numId="9" w16cid:durableId="1137800844">
    <w:abstractNumId w:val="5"/>
  </w:num>
  <w:num w:numId="10" w16cid:durableId="206458996">
    <w:abstractNumId w:val="1"/>
  </w:num>
  <w:num w:numId="11" w16cid:durableId="1632244955">
    <w:abstractNumId w:val="6"/>
  </w:num>
  <w:num w:numId="12" w16cid:durableId="210533567">
    <w:abstractNumId w:val="11"/>
  </w:num>
  <w:num w:numId="13" w16cid:durableId="898596829">
    <w:abstractNumId w:val="7"/>
  </w:num>
  <w:num w:numId="14" w16cid:durableId="115109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3A"/>
    <w:rsid w:val="00021AC6"/>
    <w:rsid w:val="000353D3"/>
    <w:rsid w:val="00050FE2"/>
    <w:rsid w:val="00052590"/>
    <w:rsid w:val="0006339A"/>
    <w:rsid w:val="0009154A"/>
    <w:rsid w:val="00093A12"/>
    <w:rsid w:val="000A62B4"/>
    <w:rsid w:val="000C0648"/>
    <w:rsid w:val="000C199E"/>
    <w:rsid w:val="000C4D34"/>
    <w:rsid w:val="000E1128"/>
    <w:rsid w:val="000F63B4"/>
    <w:rsid w:val="001204F6"/>
    <w:rsid w:val="00133C63"/>
    <w:rsid w:val="00141EF3"/>
    <w:rsid w:val="00144452"/>
    <w:rsid w:val="001672DC"/>
    <w:rsid w:val="00194706"/>
    <w:rsid w:val="001A2937"/>
    <w:rsid w:val="001A5018"/>
    <w:rsid w:val="001A5F81"/>
    <w:rsid w:val="001B6EF7"/>
    <w:rsid w:val="001E1B0B"/>
    <w:rsid w:val="001F170E"/>
    <w:rsid w:val="001F6CB1"/>
    <w:rsid w:val="00200372"/>
    <w:rsid w:val="00201A74"/>
    <w:rsid w:val="00201DAF"/>
    <w:rsid w:val="002475E1"/>
    <w:rsid w:val="00250654"/>
    <w:rsid w:val="00260282"/>
    <w:rsid w:val="00276519"/>
    <w:rsid w:val="002806AC"/>
    <w:rsid w:val="00281672"/>
    <w:rsid w:val="0029469B"/>
    <w:rsid w:val="002B036A"/>
    <w:rsid w:val="002B5AB1"/>
    <w:rsid w:val="002C295D"/>
    <w:rsid w:val="002E46A3"/>
    <w:rsid w:val="002F0D45"/>
    <w:rsid w:val="002F39AB"/>
    <w:rsid w:val="00315463"/>
    <w:rsid w:val="00323D3C"/>
    <w:rsid w:val="003247C6"/>
    <w:rsid w:val="003516D7"/>
    <w:rsid w:val="003549DF"/>
    <w:rsid w:val="003A4E2E"/>
    <w:rsid w:val="003B1EC5"/>
    <w:rsid w:val="003C76AE"/>
    <w:rsid w:val="003D22CC"/>
    <w:rsid w:val="003E14E3"/>
    <w:rsid w:val="00412236"/>
    <w:rsid w:val="0042246E"/>
    <w:rsid w:val="00432F8D"/>
    <w:rsid w:val="00434106"/>
    <w:rsid w:val="00434FA0"/>
    <w:rsid w:val="004400DD"/>
    <w:rsid w:val="004533FC"/>
    <w:rsid w:val="00462129"/>
    <w:rsid w:val="0046552B"/>
    <w:rsid w:val="00474FEA"/>
    <w:rsid w:val="00495B5B"/>
    <w:rsid w:val="004A4376"/>
    <w:rsid w:val="004B0C95"/>
    <w:rsid w:val="004B5626"/>
    <w:rsid w:val="004D05D9"/>
    <w:rsid w:val="004D0E4B"/>
    <w:rsid w:val="004F6545"/>
    <w:rsid w:val="004F66A9"/>
    <w:rsid w:val="0050578D"/>
    <w:rsid w:val="005107D5"/>
    <w:rsid w:val="00516D38"/>
    <w:rsid w:val="0052056B"/>
    <w:rsid w:val="005305D0"/>
    <w:rsid w:val="00534A05"/>
    <w:rsid w:val="00536ECB"/>
    <w:rsid w:val="00541C59"/>
    <w:rsid w:val="00543850"/>
    <w:rsid w:val="00543A8A"/>
    <w:rsid w:val="00561F38"/>
    <w:rsid w:val="00563AD1"/>
    <w:rsid w:val="00572587"/>
    <w:rsid w:val="0057461C"/>
    <w:rsid w:val="00576148"/>
    <w:rsid w:val="005875F8"/>
    <w:rsid w:val="00596882"/>
    <w:rsid w:val="005B358E"/>
    <w:rsid w:val="005B73EC"/>
    <w:rsid w:val="005C297B"/>
    <w:rsid w:val="005C5792"/>
    <w:rsid w:val="005D2010"/>
    <w:rsid w:val="005D2E72"/>
    <w:rsid w:val="005D6234"/>
    <w:rsid w:val="005E0327"/>
    <w:rsid w:val="005F157A"/>
    <w:rsid w:val="005F25B4"/>
    <w:rsid w:val="006032E8"/>
    <w:rsid w:val="00617082"/>
    <w:rsid w:val="00633F5F"/>
    <w:rsid w:val="0063442C"/>
    <w:rsid w:val="00634866"/>
    <w:rsid w:val="0063706E"/>
    <w:rsid w:val="00642B7D"/>
    <w:rsid w:val="00654F97"/>
    <w:rsid w:val="00662A9C"/>
    <w:rsid w:val="00671EC8"/>
    <w:rsid w:val="006A1763"/>
    <w:rsid w:val="006A2744"/>
    <w:rsid w:val="006A4F09"/>
    <w:rsid w:val="006B0A09"/>
    <w:rsid w:val="006B1D1E"/>
    <w:rsid w:val="006B3F42"/>
    <w:rsid w:val="006B6135"/>
    <w:rsid w:val="006E6BB1"/>
    <w:rsid w:val="006F45E6"/>
    <w:rsid w:val="00701F70"/>
    <w:rsid w:val="007072DA"/>
    <w:rsid w:val="00723C71"/>
    <w:rsid w:val="00724512"/>
    <w:rsid w:val="00735109"/>
    <w:rsid w:val="00770783"/>
    <w:rsid w:val="0077466C"/>
    <w:rsid w:val="00777591"/>
    <w:rsid w:val="00784D42"/>
    <w:rsid w:val="00790C3E"/>
    <w:rsid w:val="0079339B"/>
    <w:rsid w:val="007C1A60"/>
    <w:rsid w:val="007D2CB4"/>
    <w:rsid w:val="007D3C73"/>
    <w:rsid w:val="007E4DAF"/>
    <w:rsid w:val="007E5207"/>
    <w:rsid w:val="00805B6B"/>
    <w:rsid w:val="008110D8"/>
    <w:rsid w:val="00815529"/>
    <w:rsid w:val="00817C1B"/>
    <w:rsid w:val="008364AA"/>
    <w:rsid w:val="008463BA"/>
    <w:rsid w:val="00866A44"/>
    <w:rsid w:val="008723D2"/>
    <w:rsid w:val="00895EC3"/>
    <w:rsid w:val="00896CAB"/>
    <w:rsid w:val="008B2973"/>
    <w:rsid w:val="008D1668"/>
    <w:rsid w:val="008D77FB"/>
    <w:rsid w:val="009116C4"/>
    <w:rsid w:val="0095578E"/>
    <w:rsid w:val="009559C9"/>
    <w:rsid w:val="00955E8D"/>
    <w:rsid w:val="00956875"/>
    <w:rsid w:val="0096103C"/>
    <w:rsid w:val="009626D4"/>
    <w:rsid w:val="009747F7"/>
    <w:rsid w:val="00983FFC"/>
    <w:rsid w:val="00992346"/>
    <w:rsid w:val="009B164D"/>
    <w:rsid w:val="009C4DC0"/>
    <w:rsid w:val="009C7FEE"/>
    <w:rsid w:val="009D1C35"/>
    <w:rsid w:val="009D2566"/>
    <w:rsid w:val="009D4F6D"/>
    <w:rsid w:val="00A043FD"/>
    <w:rsid w:val="00A10F39"/>
    <w:rsid w:val="00A1351D"/>
    <w:rsid w:val="00A23BD9"/>
    <w:rsid w:val="00A272AB"/>
    <w:rsid w:val="00A33521"/>
    <w:rsid w:val="00A45084"/>
    <w:rsid w:val="00A63D2F"/>
    <w:rsid w:val="00A73640"/>
    <w:rsid w:val="00A77D3C"/>
    <w:rsid w:val="00A91B71"/>
    <w:rsid w:val="00AA2F74"/>
    <w:rsid w:val="00AA3B75"/>
    <w:rsid w:val="00AC1A88"/>
    <w:rsid w:val="00AC2266"/>
    <w:rsid w:val="00AC6A7D"/>
    <w:rsid w:val="00AC780F"/>
    <w:rsid w:val="00AE5A2F"/>
    <w:rsid w:val="00B2170C"/>
    <w:rsid w:val="00B33AAA"/>
    <w:rsid w:val="00B3689A"/>
    <w:rsid w:val="00B43AC0"/>
    <w:rsid w:val="00B44CCC"/>
    <w:rsid w:val="00B5596C"/>
    <w:rsid w:val="00B7350A"/>
    <w:rsid w:val="00B7564C"/>
    <w:rsid w:val="00BA2D59"/>
    <w:rsid w:val="00BC136F"/>
    <w:rsid w:val="00BC2703"/>
    <w:rsid w:val="00BE79CA"/>
    <w:rsid w:val="00BF1E53"/>
    <w:rsid w:val="00C12371"/>
    <w:rsid w:val="00C154CC"/>
    <w:rsid w:val="00C17E60"/>
    <w:rsid w:val="00C24551"/>
    <w:rsid w:val="00C4025A"/>
    <w:rsid w:val="00C45CC7"/>
    <w:rsid w:val="00C540BF"/>
    <w:rsid w:val="00C54E63"/>
    <w:rsid w:val="00C55C76"/>
    <w:rsid w:val="00C62B6B"/>
    <w:rsid w:val="00C737FF"/>
    <w:rsid w:val="00C827DD"/>
    <w:rsid w:val="00C82D79"/>
    <w:rsid w:val="00C8640C"/>
    <w:rsid w:val="00C86BFC"/>
    <w:rsid w:val="00C87F4E"/>
    <w:rsid w:val="00C9093A"/>
    <w:rsid w:val="00CA471E"/>
    <w:rsid w:val="00CB1AF0"/>
    <w:rsid w:val="00CB2D7C"/>
    <w:rsid w:val="00CC6428"/>
    <w:rsid w:val="00CF3C89"/>
    <w:rsid w:val="00D15D47"/>
    <w:rsid w:val="00D17D57"/>
    <w:rsid w:val="00D26DE7"/>
    <w:rsid w:val="00D50E33"/>
    <w:rsid w:val="00D63434"/>
    <w:rsid w:val="00D71C35"/>
    <w:rsid w:val="00D921CA"/>
    <w:rsid w:val="00D92E4E"/>
    <w:rsid w:val="00D93F59"/>
    <w:rsid w:val="00D95DD1"/>
    <w:rsid w:val="00DA0819"/>
    <w:rsid w:val="00DA370D"/>
    <w:rsid w:val="00DB0A59"/>
    <w:rsid w:val="00DE1E93"/>
    <w:rsid w:val="00DF359E"/>
    <w:rsid w:val="00DF409C"/>
    <w:rsid w:val="00DF679B"/>
    <w:rsid w:val="00E0313A"/>
    <w:rsid w:val="00E161C8"/>
    <w:rsid w:val="00E236C2"/>
    <w:rsid w:val="00E30FC4"/>
    <w:rsid w:val="00E613B1"/>
    <w:rsid w:val="00E70DEF"/>
    <w:rsid w:val="00E81EDC"/>
    <w:rsid w:val="00EC7AAB"/>
    <w:rsid w:val="00ED60C7"/>
    <w:rsid w:val="00F02B60"/>
    <w:rsid w:val="00F12FB9"/>
    <w:rsid w:val="00F2685B"/>
    <w:rsid w:val="00F27D48"/>
    <w:rsid w:val="00F32619"/>
    <w:rsid w:val="00F32F4D"/>
    <w:rsid w:val="00F45F9B"/>
    <w:rsid w:val="00F4606F"/>
    <w:rsid w:val="00F61437"/>
    <w:rsid w:val="00F64DD4"/>
    <w:rsid w:val="00F74E64"/>
    <w:rsid w:val="00F80516"/>
    <w:rsid w:val="00F83806"/>
    <w:rsid w:val="00F84F2A"/>
    <w:rsid w:val="00F86CBF"/>
    <w:rsid w:val="00F87C9E"/>
    <w:rsid w:val="00F94E09"/>
    <w:rsid w:val="00FC3952"/>
    <w:rsid w:val="00FD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566D"/>
  <w15:docId w15:val="{AAA92BBA-B041-4109-B132-FFEFA113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93A"/>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93A"/>
    <w:pPr>
      <w:spacing w:after="0"/>
    </w:pPr>
    <w:rPr>
      <w:sz w:val="16"/>
      <w:szCs w:val="16"/>
    </w:rPr>
  </w:style>
  <w:style w:type="character" w:customStyle="1" w:styleId="BalloonTextChar">
    <w:name w:val="Balloon Text Char"/>
    <w:basedOn w:val="DefaultParagraphFont"/>
    <w:link w:val="BalloonText"/>
    <w:uiPriority w:val="99"/>
    <w:semiHidden/>
    <w:rsid w:val="00C9093A"/>
    <w:rPr>
      <w:sz w:val="16"/>
      <w:szCs w:val="16"/>
    </w:rPr>
  </w:style>
  <w:style w:type="paragraph" w:styleId="Header">
    <w:name w:val="header"/>
    <w:basedOn w:val="Normal"/>
    <w:link w:val="HeaderChar"/>
    <w:unhideWhenUsed/>
    <w:rsid w:val="00C9093A"/>
    <w:pPr>
      <w:tabs>
        <w:tab w:val="center" w:pos="4513"/>
        <w:tab w:val="right" w:pos="9026"/>
      </w:tabs>
      <w:spacing w:after="0"/>
    </w:pPr>
  </w:style>
  <w:style w:type="character" w:customStyle="1" w:styleId="HeaderChar">
    <w:name w:val="Header Char"/>
    <w:basedOn w:val="DefaultParagraphFont"/>
    <w:link w:val="Header"/>
    <w:rsid w:val="00C9093A"/>
  </w:style>
  <w:style w:type="paragraph" w:styleId="Footer">
    <w:name w:val="footer"/>
    <w:basedOn w:val="Normal"/>
    <w:link w:val="FooterChar"/>
    <w:uiPriority w:val="99"/>
    <w:unhideWhenUsed/>
    <w:rsid w:val="00C9093A"/>
    <w:pPr>
      <w:tabs>
        <w:tab w:val="center" w:pos="4513"/>
        <w:tab w:val="right" w:pos="9026"/>
      </w:tabs>
      <w:spacing w:after="0"/>
    </w:pPr>
  </w:style>
  <w:style w:type="character" w:customStyle="1" w:styleId="FooterChar">
    <w:name w:val="Footer Char"/>
    <w:basedOn w:val="DefaultParagraphFont"/>
    <w:link w:val="Footer"/>
    <w:uiPriority w:val="99"/>
    <w:rsid w:val="00C9093A"/>
  </w:style>
  <w:style w:type="character" w:styleId="PlaceholderText">
    <w:name w:val="Placeholder Text"/>
    <w:basedOn w:val="DefaultParagraphFont"/>
    <w:uiPriority w:val="99"/>
    <w:semiHidden/>
    <w:rsid w:val="00C9093A"/>
    <w:rPr>
      <w:color w:val="808080"/>
    </w:rPr>
  </w:style>
  <w:style w:type="paragraph" w:styleId="BodyText">
    <w:name w:val="Body Text"/>
    <w:basedOn w:val="Normal"/>
    <w:link w:val="BodyTextChar"/>
    <w:rsid w:val="00194706"/>
    <w:pPr>
      <w:suppressAutoHyphens/>
      <w:spacing w:after="120"/>
    </w:pPr>
    <w:rPr>
      <w:rFonts w:ascii="Times New Roman" w:eastAsia="Times New Roman" w:hAnsi="Times New Roman" w:cs="Calibri"/>
      <w:sz w:val="24"/>
      <w:szCs w:val="20"/>
      <w:lang w:eastAsia="ar-SA"/>
    </w:rPr>
  </w:style>
  <w:style w:type="character" w:customStyle="1" w:styleId="BodyTextChar">
    <w:name w:val="Body Text Char"/>
    <w:basedOn w:val="DefaultParagraphFont"/>
    <w:link w:val="BodyText"/>
    <w:rsid w:val="00194706"/>
    <w:rPr>
      <w:rFonts w:ascii="Times New Roman" w:eastAsia="Times New Roman" w:hAnsi="Times New Roman" w:cs="Calibri"/>
      <w:sz w:val="24"/>
      <w:szCs w:val="20"/>
      <w:lang w:eastAsia="ar-SA"/>
    </w:rPr>
  </w:style>
  <w:style w:type="paragraph" w:customStyle="1" w:styleId="Default">
    <w:name w:val="Default"/>
    <w:rsid w:val="00194706"/>
    <w:pPr>
      <w:autoSpaceDE w:val="0"/>
      <w:autoSpaceDN w:val="0"/>
      <w:adjustRightInd w:val="0"/>
      <w:spacing w:after="0"/>
    </w:pPr>
    <w:rPr>
      <w:rFonts w:ascii="Arial" w:hAnsi="Arial" w:cs="Arial"/>
      <w:color w:val="000000"/>
      <w:sz w:val="24"/>
      <w:szCs w:val="24"/>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896CAB"/>
    <w:pPr>
      <w:ind w:left="720"/>
      <w:contextualSpacing/>
    </w:pPr>
  </w:style>
  <w:style w:type="character" w:styleId="Hyperlink">
    <w:name w:val="Hyperlink"/>
    <w:basedOn w:val="DefaultParagraphFont"/>
    <w:uiPriority w:val="99"/>
    <w:unhideWhenUsed/>
    <w:rsid w:val="00A23BD9"/>
    <w:rPr>
      <w:color w:val="0000FF" w:themeColor="hyperlink"/>
      <w:u w:val="single"/>
    </w:rPr>
  </w:style>
  <w:style w:type="character" w:styleId="UnresolvedMention">
    <w:name w:val="Unresolved Mention"/>
    <w:basedOn w:val="DefaultParagraphFont"/>
    <w:uiPriority w:val="99"/>
    <w:semiHidden/>
    <w:unhideWhenUsed/>
    <w:rsid w:val="00A23BD9"/>
    <w:rPr>
      <w:color w:val="605E5C"/>
      <w:shd w:val="clear" w:color="auto" w:fill="E1DFDD"/>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locked/>
    <w:rsid w:val="00BC2703"/>
  </w:style>
  <w:style w:type="character" w:customStyle="1" w:styleId="eop">
    <w:name w:val="eop"/>
    <w:basedOn w:val="DefaultParagraphFont"/>
    <w:rsid w:val="008364AA"/>
  </w:style>
  <w:style w:type="character" w:styleId="CommentReference">
    <w:name w:val="annotation reference"/>
    <w:basedOn w:val="DefaultParagraphFont"/>
    <w:uiPriority w:val="99"/>
    <w:semiHidden/>
    <w:unhideWhenUsed/>
    <w:rsid w:val="0006339A"/>
    <w:rPr>
      <w:sz w:val="16"/>
      <w:szCs w:val="16"/>
    </w:rPr>
  </w:style>
  <w:style w:type="paragraph" w:styleId="CommentText">
    <w:name w:val="annotation text"/>
    <w:basedOn w:val="Normal"/>
    <w:link w:val="CommentTextChar"/>
    <w:uiPriority w:val="99"/>
    <w:unhideWhenUsed/>
    <w:rsid w:val="0006339A"/>
    <w:rPr>
      <w:sz w:val="20"/>
      <w:szCs w:val="20"/>
    </w:rPr>
  </w:style>
  <w:style w:type="character" w:customStyle="1" w:styleId="CommentTextChar">
    <w:name w:val="Comment Text Char"/>
    <w:basedOn w:val="DefaultParagraphFont"/>
    <w:link w:val="CommentText"/>
    <w:uiPriority w:val="99"/>
    <w:rsid w:val="0006339A"/>
    <w:rPr>
      <w:sz w:val="20"/>
      <w:szCs w:val="20"/>
    </w:rPr>
  </w:style>
  <w:style w:type="paragraph" w:styleId="CommentSubject">
    <w:name w:val="annotation subject"/>
    <w:basedOn w:val="CommentText"/>
    <w:next w:val="CommentText"/>
    <w:link w:val="CommentSubjectChar"/>
    <w:uiPriority w:val="99"/>
    <w:semiHidden/>
    <w:unhideWhenUsed/>
    <w:rsid w:val="0006339A"/>
    <w:rPr>
      <w:b/>
      <w:bCs/>
    </w:rPr>
  </w:style>
  <w:style w:type="character" w:customStyle="1" w:styleId="CommentSubjectChar">
    <w:name w:val="Comment Subject Char"/>
    <w:basedOn w:val="CommentTextChar"/>
    <w:link w:val="CommentSubject"/>
    <w:uiPriority w:val="99"/>
    <w:semiHidden/>
    <w:rsid w:val="0006339A"/>
    <w:rPr>
      <w:b/>
      <w:bCs/>
      <w:sz w:val="20"/>
      <w:szCs w:val="20"/>
    </w:rPr>
  </w:style>
  <w:style w:type="paragraph" w:styleId="FootnoteText">
    <w:name w:val="footnote text"/>
    <w:basedOn w:val="Normal"/>
    <w:link w:val="FootnoteTextChar"/>
    <w:uiPriority w:val="99"/>
    <w:semiHidden/>
    <w:unhideWhenUsed/>
    <w:rsid w:val="0050578D"/>
    <w:pPr>
      <w:spacing w:after="0"/>
    </w:pPr>
    <w:rPr>
      <w:sz w:val="20"/>
      <w:szCs w:val="20"/>
    </w:rPr>
  </w:style>
  <w:style w:type="character" w:customStyle="1" w:styleId="FootnoteTextChar">
    <w:name w:val="Footnote Text Char"/>
    <w:basedOn w:val="DefaultParagraphFont"/>
    <w:link w:val="FootnoteText"/>
    <w:uiPriority w:val="99"/>
    <w:semiHidden/>
    <w:rsid w:val="0050578D"/>
    <w:rPr>
      <w:sz w:val="20"/>
      <w:szCs w:val="20"/>
    </w:rPr>
  </w:style>
  <w:style w:type="character" w:styleId="FootnoteReference">
    <w:name w:val="footnote reference"/>
    <w:basedOn w:val="DefaultParagraphFont"/>
    <w:uiPriority w:val="99"/>
    <w:semiHidden/>
    <w:unhideWhenUsed/>
    <w:rsid w:val="0050578D"/>
    <w:rPr>
      <w:vertAlign w:val="superscript"/>
    </w:rPr>
  </w:style>
  <w:style w:type="paragraph" w:styleId="Revision">
    <w:name w:val="Revision"/>
    <w:hidden/>
    <w:uiPriority w:val="99"/>
    <w:semiHidden/>
    <w:rsid w:val="00021AC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0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F017689BF5E4FA60AB34DD0FFD031" ma:contentTypeVersion="16" ma:contentTypeDescription="Create a new document." ma:contentTypeScope="" ma:versionID="5eac8b96c942e2f2c12b1895167bfc9c">
  <xsd:schema xmlns:xsd="http://www.w3.org/2001/XMLSchema" xmlns:xs="http://www.w3.org/2001/XMLSchema" xmlns:p="http://schemas.microsoft.com/office/2006/metadata/properties" xmlns:ns2="96892819-a44a-41ae-a563-e25c4856ab4f" xmlns:ns3="e3ad9946-2755-43c9-8f14-32279eff52bd" targetNamespace="http://schemas.microsoft.com/office/2006/metadata/properties" ma:root="true" ma:fieldsID="95f7cdd1ce2815c13498308e2a5eb79c" ns2:_="" ns3:_="">
    <xsd:import namespace="96892819-a44a-41ae-a563-e25c4856ab4f"/>
    <xsd:import namespace="e3ad9946-2755-43c9-8f14-32279eff5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2819-a44a-41ae-a563-e25c4856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9946-2755-43c9-8f14-32279eff5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f1943-0108-4728-a164-7b95ff8dbb73}" ma:internalName="TaxCatchAll" ma:showField="CatchAllData" ma:web="e3ad9946-2755-43c9-8f14-32279eff5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892819-a44a-41ae-a563-e25c4856ab4f">
      <Terms xmlns="http://schemas.microsoft.com/office/infopath/2007/PartnerControls"/>
    </lcf76f155ced4ddcb4097134ff3c332f>
    <TaxCatchAll xmlns="e3ad9946-2755-43c9-8f14-32279eff52bd" xsi:nil="true"/>
  </documentManagement>
</p:properties>
</file>

<file path=customXml/itemProps1.xml><?xml version="1.0" encoding="utf-8"?>
<ds:datastoreItem xmlns:ds="http://schemas.openxmlformats.org/officeDocument/2006/customXml" ds:itemID="{85C8D18B-5D8E-4C46-B1CA-650EA1214E0B}">
  <ds:schemaRefs>
    <ds:schemaRef ds:uri="http://schemas.openxmlformats.org/officeDocument/2006/bibliography"/>
  </ds:schemaRefs>
</ds:datastoreItem>
</file>

<file path=customXml/itemProps2.xml><?xml version="1.0" encoding="utf-8"?>
<ds:datastoreItem xmlns:ds="http://schemas.openxmlformats.org/officeDocument/2006/customXml" ds:itemID="{8B10B1AD-8256-4783-BB29-50432A7D630E}">
  <ds:schemaRefs>
    <ds:schemaRef ds:uri="http://schemas.microsoft.com/sharepoint/v3/contenttype/forms"/>
  </ds:schemaRefs>
</ds:datastoreItem>
</file>

<file path=customXml/itemProps3.xml><?xml version="1.0" encoding="utf-8"?>
<ds:datastoreItem xmlns:ds="http://schemas.openxmlformats.org/officeDocument/2006/customXml" ds:itemID="{A30590C3-5A4E-41FA-9FFC-12E41991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2819-a44a-41ae-a563-e25c4856ab4f"/>
    <ds:schemaRef ds:uri="e3ad9946-2755-43c9-8f14-32279eff5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9A68C-6FD9-4FB2-9EB8-84F640F81691}">
  <ds:schemaRefs>
    <ds:schemaRef ds:uri="http://schemas.microsoft.com/office/2006/metadata/properties"/>
    <ds:schemaRef ds:uri="http://schemas.microsoft.com/office/infopath/2007/PartnerControls"/>
    <ds:schemaRef ds:uri="96892819-a44a-41ae-a563-e25c4856ab4f"/>
    <ds:schemaRef ds:uri="e3ad9946-2755-43c9-8f14-32279eff52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Turner</dc:creator>
  <cp:lastModifiedBy>Sarah Thompson</cp:lastModifiedBy>
  <cp:revision>41</cp:revision>
  <dcterms:created xsi:type="dcterms:W3CDTF">2025-09-15T15:43:00Z</dcterms:created>
  <dcterms:modified xsi:type="dcterms:W3CDTF">2025-11-18T12:15:00Z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0x01010051AF017689BF5E4FA60AB34DD0FFD031</vt:lpwstr>
  </property>
  <property fmtid="{D5CDD505-2E9C-101B-9397-08002B2CF9AE}" pid="3" name="Order">
    <vt:r8>1600</vt:r8>
  </property>
  <property fmtid="{D5CDD505-2E9C-101B-9397-08002B2CF9AE}" pid="4" name="MSIP_Label_67e08e62-16ad-4613-967d-21554f0d2219_Enabled">
    <vt:lpwstr>true</vt:lpwstr>
  </property>
  <property fmtid="{D5CDD505-2E9C-101B-9397-08002B2CF9AE}" pid="5" name="MSIP_Label_67e08e62-16ad-4613-967d-21554f0d2219_SetDate">
    <vt:lpwstr>2024-08-16T11:27:16Z</vt:lpwstr>
  </property>
  <property fmtid="{D5CDD505-2E9C-101B-9397-08002B2CF9AE}" pid="6" name="MSIP_Label_67e08e62-16ad-4613-967d-21554f0d2219_Method">
    <vt:lpwstr>Standard</vt:lpwstr>
  </property>
  <property fmtid="{D5CDD505-2E9C-101B-9397-08002B2CF9AE}" pid="7" name="MSIP_Label_67e08e62-16ad-4613-967d-21554f0d2219_Name">
    <vt:lpwstr>defa4170-0d19-0005-0004-bc88714345d2</vt:lpwstr>
  </property>
  <property fmtid="{D5CDD505-2E9C-101B-9397-08002B2CF9AE}" pid="8" name="MSIP_Label_67e08e62-16ad-4613-967d-21554f0d2219_SiteId">
    <vt:lpwstr>cb811789-d752-4ec2-8215-356e22c04d4f</vt:lpwstr>
  </property>
  <property fmtid="{D5CDD505-2E9C-101B-9397-08002B2CF9AE}" pid="9" name="MSIP_Label_67e08e62-16ad-4613-967d-21554f0d2219_ActionId">
    <vt:lpwstr>7e5a33fb-4a78-4941-934a-7522e839962c</vt:lpwstr>
  </property>
  <property fmtid="{D5CDD505-2E9C-101B-9397-08002B2CF9AE}" pid="10" name="MSIP_Label_67e08e62-16ad-4613-967d-21554f0d2219_ContentBits">
    <vt:lpwstr>0</vt:lpwstr>
  </property>
  <property fmtid="{D5CDD505-2E9C-101B-9397-08002B2CF9AE}" pid="11" name="MediaServiceImageTags">
    <vt:lpwstr/>
  </property>
</Properties>
</file>