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EC60D" w14:textId="076EE392" w:rsidR="00562BF9" w:rsidRPr="009855C4" w:rsidRDefault="00225507" w:rsidP="007D4538">
      <w:pPr>
        <w:spacing w:after="0" w:line="276" w:lineRule="auto"/>
        <w:rPr>
          <w:rFonts w:ascii="Aptos" w:hAnsi="Aptos" w:cstheme="minorHAnsi"/>
          <w:b/>
        </w:rPr>
      </w:pPr>
      <w:r w:rsidRPr="009855C4">
        <w:rPr>
          <w:rFonts w:ascii="Aptos" w:hAnsi="Aptos" w:cstheme="minorHAnsi"/>
          <w:b/>
          <w:bCs/>
        </w:rPr>
        <w:t xml:space="preserve">TERMS OF REFERENCE </w:t>
      </w:r>
      <w:r w:rsidR="00210CE5" w:rsidRPr="009855C4">
        <w:rPr>
          <w:rFonts w:ascii="Aptos" w:hAnsi="Aptos" w:cstheme="minorHAnsi"/>
          <w:b/>
          <w:bCs/>
        </w:rPr>
        <w:t>–</w:t>
      </w:r>
      <w:r w:rsidR="0074270D" w:rsidRPr="009855C4">
        <w:rPr>
          <w:rFonts w:ascii="Aptos" w:hAnsi="Aptos" w:cstheme="minorHAnsi"/>
          <w:b/>
          <w:bCs/>
        </w:rPr>
        <w:t xml:space="preserve"> </w:t>
      </w:r>
      <w:r w:rsidR="00562BF9" w:rsidRPr="009855C4">
        <w:rPr>
          <w:rFonts w:ascii="Aptos" w:hAnsi="Aptos" w:cstheme="minorHAnsi"/>
          <w:b/>
        </w:rPr>
        <w:t>FINANCE</w:t>
      </w:r>
      <w:r w:rsidR="00210CE5" w:rsidRPr="009855C4">
        <w:rPr>
          <w:rFonts w:ascii="Aptos" w:hAnsi="Aptos" w:cstheme="minorHAnsi"/>
          <w:b/>
        </w:rPr>
        <w:t>, CAPITAL</w:t>
      </w:r>
      <w:r w:rsidR="00562BF9" w:rsidRPr="009855C4">
        <w:rPr>
          <w:rFonts w:ascii="Aptos" w:hAnsi="Aptos" w:cstheme="minorHAnsi"/>
          <w:b/>
        </w:rPr>
        <w:t xml:space="preserve"> AND </w:t>
      </w:r>
      <w:r w:rsidR="0074270D" w:rsidRPr="009855C4">
        <w:rPr>
          <w:rFonts w:ascii="Aptos" w:hAnsi="Aptos" w:cstheme="minorHAnsi"/>
          <w:b/>
        </w:rPr>
        <w:t xml:space="preserve">RESOURCES </w:t>
      </w:r>
      <w:r w:rsidR="00562BF9" w:rsidRPr="009855C4">
        <w:rPr>
          <w:rFonts w:ascii="Aptos" w:hAnsi="Aptos" w:cstheme="minorHAnsi"/>
          <w:b/>
        </w:rPr>
        <w:t>COMMITTEE</w:t>
      </w:r>
    </w:p>
    <w:p w14:paraId="73EB17F3" w14:textId="77777777" w:rsidR="0074270D" w:rsidRPr="009855C4" w:rsidRDefault="0074270D" w:rsidP="007D4538">
      <w:pPr>
        <w:spacing w:after="0" w:line="276" w:lineRule="auto"/>
        <w:rPr>
          <w:rFonts w:ascii="Aptos" w:hAnsi="Aptos" w:cstheme="minorHAnsi"/>
          <w:b/>
        </w:rPr>
      </w:pP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7371"/>
      </w:tblGrid>
      <w:tr w:rsidR="00562BF9" w:rsidRPr="009855C4" w14:paraId="33233E63" w14:textId="77777777" w:rsidTr="001919FC">
        <w:tc>
          <w:tcPr>
            <w:tcW w:w="1560" w:type="dxa"/>
          </w:tcPr>
          <w:p w14:paraId="31F0A223" w14:textId="77777777" w:rsidR="00562BF9" w:rsidRPr="009855C4" w:rsidRDefault="00562BF9" w:rsidP="007D4538">
            <w:pPr>
              <w:spacing w:after="0" w:line="276" w:lineRule="auto"/>
              <w:rPr>
                <w:rFonts w:ascii="Aptos" w:hAnsi="Aptos" w:cstheme="minorHAnsi"/>
              </w:rPr>
            </w:pPr>
            <w:r w:rsidRPr="009855C4">
              <w:rPr>
                <w:rFonts w:ascii="Aptos" w:hAnsi="Aptos" w:cstheme="minorHAnsi"/>
              </w:rPr>
              <w:t>Composition:</w:t>
            </w:r>
          </w:p>
        </w:tc>
        <w:tc>
          <w:tcPr>
            <w:tcW w:w="7371" w:type="dxa"/>
          </w:tcPr>
          <w:p w14:paraId="7788E224" w14:textId="77777777" w:rsidR="00562BF9" w:rsidRPr="009855C4" w:rsidRDefault="00562BF9" w:rsidP="007D4538">
            <w:pPr>
              <w:spacing w:after="0" w:line="276" w:lineRule="auto"/>
              <w:rPr>
                <w:rFonts w:ascii="Aptos" w:hAnsi="Aptos" w:cstheme="minorHAnsi"/>
              </w:rPr>
            </w:pPr>
            <w:r w:rsidRPr="009855C4">
              <w:rPr>
                <w:rFonts w:ascii="Aptos" w:hAnsi="Aptos" w:cstheme="minorHAnsi"/>
              </w:rPr>
              <w:t xml:space="preserve">Minimum five members (including Chief Executive and Group Principal as ex officio member and any external co-opted member(s) as appropriate) </w:t>
            </w:r>
          </w:p>
          <w:p w14:paraId="59587F94" w14:textId="77777777" w:rsidR="00562BF9" w:rsidRPr="009855C4" w:rsidRDefault="00562BF9" w:rsidP="007D4538">
            <w:pPr>
              <w:spacing w:after="0" w:line="276" w:lineRule="auto"/>
              <w:rPr>
                <w:rFonts w:ascii="Aptos" w:hAnsi="Aptos" w:cstheme="minorHAnsi"/>
              </w:rPr>
            </w:pPr>
            <w:r w:rsidRPr="009855C4">
              <w:rPr>
                <w:rFonts w:ascii="Aptos" w:hAnsi="Aptos" w:cstheme="minorHAnsi"/>
              </w:rPr>
              <w:t>No cross membership with Audit Committee</w:t>
            </w:r>
          </w:p>
        </w:tc>
      </w:tr>
      <w:tr w:rsidR="00562BF9" w:rsidRPr="009855C4" w14:paraId="1799DE29" w14:textId="77777777" w:rsidTr="001919FC">
        <w:tc>
          <w:tcPr>
            <w:tcW w:w="1560" w:type="dxa"/>
          </w:tcPr>
          <w:p w14:paraId="6A1D2BD6" w14:textId="77777777" w:rsidR="00562BF9" w:rsidRPr="009855C4" w:rsidRDefault="00562BF9" w:rsidP="007D4538">
            <w:pPr>
              <w:spacing w:after="0" w:line="276" w:lineRule="auto"/>
              <w:rPr>
                <w:rFonts w:ascii="Aptos" w:hAnsi="Aptos" w:cstheme="minorHAnsi"/>
              </w:rPr>
            </w:pPr>
            <w:r w:rsidRPr="009855C4">
              <w:rPr>
                <w:rFonts w:ascii="Aptos" w:hAnsi="Aptos" w:cstheme="minorHAnsi"/>
              </w:rPr>
              <w:t>Quorum:</w:t>
            </w:r>
          </w:p>
        </w:tc>
        <w:tc>
          <w:tcPr>
            <w:tcW w:w="7371" w:type="dxa"/>
          </w:tcPr>
          <w:p w14:paraId="7C27A2B4" w14:textId="77777777" w:rsidR="00562BF9" w:rsidRPr="009855C4" w:rsidRDefault="00562BF9" w:rsidP="007D4538">
            <w:pPr>
              <w:spacing w:after="0" w:line="276" w:lineRule="auto"/>
              <w:rPr>
                <w:rFonts w:ascii="Aptos" w:hAnsi="Aptos" w:cstheme="minorHAnsi"/>
              </w:rPr>
            </w:pPr>
            <w:r w:rsidRPr="009855C4">
              <w:rPr>
                <w:rFonts w:ascii="Aptos" w:hAnsi="Aptos" w:cstheme="minorHAnsi"/>
              </w:rPr>
              <w:t>40% of committee membership, subject to minimum of three</w:t>
            </w:r>
            <w:r w:rsidRPr="009855C4" w:rsidDel="007F4517">
              <w:rPr>
                <w:rFonts w:ascii="Aptos" w:hAnsi="Aptos" w:cstheme="minorHAnsi"/>
              </w:rPr>
              <w:t xml:space="preserve"> </w:t>
            </w:r>
          </w:p>
        </w:tc>
      </w:tr>
      <w:tr w:rsidR="00562BF9" w:rsidRPr="009855C4" w14:paraId="50CD4A29" w14:textId="77777777" w:rsidTr="001919FC">
        <w:tc>
          <w:tcPr>
            <w:tcW w:w="1560" w:type="dxa"/>
          </w:tcPr>
          <w:p w14:paraId="04EC8DA9" w14:textId="77777777" w:rsidR="00562BF9" w:rsidRPr="009855C4" w:rsidRDefault="00562BF9" w:rsidP="007D4538">
            <w:pPr>
              <w:spacing w:after="0" w:line="276" w:lineRule="auto"/>
              <w:rPr>
                <w:rFonts w:ascii="Aptos" w:hAnsi="Aptos" w:cstheme="minorHAnsi"/>
              </w:rPr>
            </w:pPr>
            <w:r w:rsidRPr="009855C4">
              <w:rPr>
                <w:rFonts w:ascii="Aptos" w:hAnsi="Aptos" w:cstheme="minorHAnsi"/>
              </w:rPr>
              <w:t>Attendance</w:t>
            </w:r>
          </w:p>
        </w:tc>
        <w:tc>
          <w:tcPr>
            <w:tcW w:w="7371" w:type="dxa"/>
          </w:tcPr>
          <w:p w14:paraId="020339CE" w14:textId="55AAC608" w:rsidR="00562BF9" w:rsidRPr="009855C4" w:rsidRDefault="00562BF9" w:rsidP="007D4538">
            <w:pPr>
              <w:spacing w:after="0" w:line="276" w:lineRule="auto"/>
              <w:rPr>
                <w:rFonts w:ascii="Aptos" w:hAnsi="Aptos" w:cstheme="minorHAnsi"/>
              </w:rPr>
            </w:pPr>
            <w:r w:rsidRPr="009855C4">
              <w:rPr>
                <w:rFonts w:ascii="Aptos" w:hAnsi="Aptos" w:cstheme="minorHAnsi"/>
              </w:rPr>
              <w:t xml:space="preserve">The Corporation attendance target is 80%. Committee members are therefore expected to attend all the meetings scheduled in </w:t>
            </w:r>
            <w:r w:rsidR="005B1A35" w:rsidRPr="009855C4">
              <w:rPr>
                <w:rFonts w:ascii="Aptos" w:hAnsi="Aptos" w:cstheme="minorHAnsi"/>
              </w:rPr>
              <w:t>2024</w:t>
            </w:r>
            <w:r w:rsidRPr="009855C4">
              <w:rPr>
                <w:rFonts w:ascii="Aptos" w:hAnsi="Aptos" w:cstheme="minorHAnsi"/>
              </w:rPr>
              <w:t>-</w:t>
            </w:r>
            <w:r w:rsidR="005B1A35" w:rsidRPr="009855C4">
              <w:rPr>
                <w:rFonts w:ascii="Aptos" w:hAnsi="Aptos" w:cstheme="minorHAnsi"/>
              </w:rPr>
              <w:t xml:space="preserve">25 </w:t>
            </w:r>
          </w:p>
        </w:tc>
      </w:tr>
      <w:tr w:rsidR="00562BF9" w:rsidRPr="009855C4" w14:paraId="519C8050" w14:textId="77777777" w:rsidTr="001919FC">
        <w:tc>
          <w:tcPr>
            <w:tcW w:w="1560" w:type="dxa"/>
          </w:tcPr>
          <w:p w14:paraId="6EA2D4D2" w14:textId="77777777" w:rsidR="00562BF9" w:rsidRPr="009855C4" w:rsidRDefault="00562BF9" w:rsidP="007D4538">
            <w:pPr>
              <w:spacing w:after="0" w:line="276" w:lineRule="auto"/>
              <w:rPr>
                <w:rFonts w:ascii="Aptos" w:hAnsi="Aptos" w:cstheme="minorHAnsi"/>
              </w:rPr>
            </w:pPr>
            <w:r w:rsidRPr="009855C4">
              <w:rPr>
                <w:rFonts w:ascii="Aptos" w:hAnsi="Aptos" w:cstheme="minorHAnsi"/>
              </w:rPr>
              <w:t>No of meetings per year</w:t>
            </w:r>
          </w:p>
        </w:tc>
        <w:tc>
          <w:tcPr>
            <w:tcW w:w="7371" w:type="dxa"/>
          </w:tcPr>
          <w:p w14:paraId="77CB6988" w14:textId="12528F55" w:rsidR="00562BF9" w:rsidRPr="009855C4" w:rsidRDefault="00B7259D" w:rsidP="007D4538">
            <w:pPr>
              <w:spacing w:after="0" w:line="276" w:lineRule="auto"/>
              <w:rPr>
                <w:rFonts w:ascii="Aptos" w:hAnsi="Aptos" w:cstheme="minorHAnsi"/>
              </w:rPr>
            </w:pPr>
            <w:r w:rsidRPr="009855C4">
              <w:rPr>
                <w:rFonts w:ascii="Aptos" w:hAnsi="Aptos" w:cstheme="minorHAnsi"/>
              </w:rPr>
              <w:t>M</w:t>
            </w:r>
            <w:r w:rsidR="00562BF9" w:rsidRPr="009855C4">
              <w:rPr>
                <w:rFonts w:ascii="Aptos" w:hAnsi="Aptos" w:cstheme="minorHAnsi"/>
              </w:rPr>
              <w:t>inimum of three</w:t>
            </w:r>
          </w:p>
        </w:tc>
      </w:tr>
      <w:tr w:rsidR="00562BF9" w:rsidRPr="009855C4" w14:paraId="5335D5A8" w14:textId="77777777" w:rsidTr="001919FC">
        <w:tc>
          <w:tcPr>
            <w:tcW w:w="1560" w:type="dxa"/>
          </w:tcPr>
          <w:p w14:paraId="7BF36B47" w14:textId="77777777" w:rsidR="00562BF9" w:rsidRPr="009855C4" w:rsidRDefault="00562BF9" w:rsidP="007D4538">
            <w:pPr>
              <w:spacing w:after="0" w:line="276" w:lineRule="auto"/>
              <w:rPr>
                <w:rFonts w:ascii="Aptos" w:hAnsi="Aptos" w:cstheme="minorHAnsi"/>
              </w:rPr>
            </w:pPr>
            <w:r w:rsidRPr="009855C4">
              <w:rPr>
                <w:rFonts w:ascii="Aptos" w:hAnsi="Aptos" w:cstheme="minorHAnsi"/>
              </w:rPr>
              <w:t>Chair:</w:t>
            </w:r>
          </w:p>
        </w:tc>
        <w:tc>
          <w:tcPr>
            <w:tcW w:w="7371" w:type="dxa"/>
          </w:tcPr>
          <w:p w14:paraId="44678A6A" w14:textId="77777777" w:rsidR="00562BF9" w:rsidRPr="009855C4" w:rsidRDefault="00562BF9" w:rsidP="007D4538">
            <w:pPr>
              <w:spacing w:after="0" w:line="276" w:lineRule="auto"/>
              <w:rPr>
                <w:rFonts w:ascii="Aptos" w:hAnsi="Aptos" w:cstheme="minorHAnsi"/>
              </w:rPr>
            </w:pPr>
            <w:r w:rsidRPr="009855C4">
              <w:rPr>
                <w:rFonts w:ascii="Aptos" w:hAnsi="Aptos" w:cstheme="minorHAnsi"/>
              </w:rPr>
              <w:t>Selected by committee, reviewed annually</w:t>
            </w:r>
          </w:p>
        </w:tc>
      </w:tr>
      <w:tr w:rsidR="00562BF9" w:rsidRPr="009855C4" w14:paraId="7CB6C3D0" w14:textId="77777777" w:rsidTr="001919FC">
        <w:tc>
          <w:tcPr>
            <w:tcW w:w="1560" w:type="dxa"/>
          </w:tcPr>
          <w:p w14:paraId="53525D01" w14:textId="77777777" w:rsidR="00562BF9" w:rsidRPr="009855C4" w:rsidRDefault="00562BF9" w:rsidP="007D4538">
            <w:pPr>
              <w:spacing w:after="0" w:line="276" w:lineRule="auto"/>
              <w:rPr>
                <w:rFonts w:ascii="Aptos" w:hAnsi="Aptos" w:cstheme="minorHAnsi"/>
              </w:rPr>
            </w:pPr>
            <w:r w:rsidRPr="009855C4">
              <w:rPr>
                <w:rFonts w:ascii="Aptos" w:hAnsi="Aptos" w:cstheme="minorHAnsi"/>
              </w:rPr>
              <w:t>Public access to meetings:</w:t>
            </w:r>
          </w:p>
        </w:tc>
        <w:tc>
          <w:tcPr>
            <w:tcW w:w="7371" w:type="dxa"/>
          </w:tcPr>
          <w:p w14:paraId="19C6DA70" w14:textId="77777777" w:rsidR="00562BF9" w:rsidRPr="009855C4" w:rsidRDefault="00562BF9" w:rsidP="007D4538">
            <w:pPr>
              <w:spacing w:after="0" w:line="276" w:lineRule="auto"/>
              <w:rPr>
                <w:rFonts w:ascii="Aptos" w:hAnsi="Aptos" w:cstheme="minorHAnsi"/>
              </w:rPr>
            </w:pPr>
            <w:r w:rsidRPr="009855C4">
              <w:rPr>
                <w:rFonts w:ascii="Aptos" w:hAnsi="Aptos" w:cstheme="minorHAnsi"/>
              </w:rPr>
              <w:t xml:space="preserve">By chair’s invitation, with members’ approval - see Standing Orders Section 12 </w:t>
            </w:r>
          </w:p>
        </w:tc>
      </w:tr>
      <w:tr w:rsidR="00562BF9" w:rsidRPr="009855C4" w14:paraId="3B96DCE4" w14:textId="77777777" w:rsidTr="001919FC">
        <w:tc>
          <w:tcPr>
            <w:tcW w:w="1560" w:type="dxa"/>
          </w:tcPr>
          <w:p w14:paraId="0A830D8F" w14:textId="77777777" w:rsidR="00562BF9" w:rsidRPr="009855C4" w:rsidRDefault="00562BF9" w:rsidP="007D4538">
            <w:pPr>
              <w:spacing w:after="0" w:line="276" w:lineRule="auto"/>
              <w:rPr>
                <w:rFonts w:ascii="Aptos" w:hAnsi="Aptos" w:cstheme="minorHAnsi"/>
              </w:rPr>
            </w:pPr>
            <w:r w:rsidRPr="009855C4">
              <w:rPr>
                <w:rFonts w:ascii="Aptos" w:hAnsi="Aptos" w:cstheme="minorHAnsi"/>
              </w:rPr>
              <w:t>Conduct of meetings:</w:t>
            </w:r>
          </w:p>
        </w:tc>
        <w:tc>
          <w:tcPr>
            <w:tcW w:w="7371" w:type="dxa"/>
          </w:tcPr>
          <w:p w14:paraId="60ABD853" w14:textId="77777777" w:rsidR="00562BF9" w:rsidRPr="009855C4" w:rsidRDefault="00562BF9" w:rsidP="007D4538">
            <w:pPr>
              <w:spacing w:after="0" w:line="276" w:lineRule="auto"/>
              <w:rPr>
                <w:rFonts w:ascii="Aptos" w:hAnsi="Aptos" w:cstheme="minorHAnsi"/>
              </w:rPr>
            </w:pPr>
            <w:r w:rsidRPr="009855C4">
              <w:rPr>
                <w:rFonts w:ascii="Aptos" w:hAnsi="Aptos" w:cstheme="minorHAnsi"/>
              </w:rPr>
              <w:t>See Standing Orders Section 5</w:t>
            </w:r>
          </w:p>
        </w:tc>
      </w:tr>
      <w:tr w:rsidR="00562BF9" w:rsidRPr="009855C4" w14:paraId="340BEE5B" w14:textId="77777777" w:rsidTr="001919FC">
        <w:tc>
          <w:tcPr>
            <w:tcW w:w="1560" w:type="dxa"/>
          </w:tcPr>
          <w:p w14:paraId="25A4F085" w14:textId="77777777" w:rsidR="00562BF9" w:rsidRPr="009855C4" w:rsidRDefault="00562BF9" w:rsidP="007D4538">
            <w:pPr>
              <w:spacing w:after="0" w:line="276" w:lineRule="auto"/>
              <w:rPr>
                <w:rFonts w:ascii="Aptos" w:hAnsi="Aptos" w:cstheme="minorHAnsi"/>
              </w:rPr>
            </w:pPr>
            <w:r w:rsidRPr="009855C4">
              <w:rPr>
                <w:rFonts w:ascii="Aptos" w:hAnsi="Aptos" w:cstheme="minorHAnsi"/>
              </w:rPr>
              <w:t>Minutes:</w:t>
            </w:r>
          </w:p>
        </w:tc>
        <w:tc>
          <w:tcPr>
            <w:tcW w:w="7371" w:type="dxa"/>
          </w:tcPr>
          <w:p w14:paraId="43ABE20D" w14:textId="77777777" w:rsidR="00562BF9" w:rsidRPr="009855C4" w:rsidRDefault="00562BF9" w:rsidP="007D4538">
            <w:pPr>
              <w:spacing w:after="0" w:line="276" w:lineRule="auto"/>
              <w:rPr>
                <w:rFonts w:ascii="Aptos" w:hAnsi="Aptos" w:cstheme="minorHAnsi"/>
              </w:rPr>
            </w:pPr>
            <w:r w:rsidRPr="009855C4">
              <w:rPr>
                <w:rFonts w:ascii="Aptos" w:hAnsi="Aptos" w:cstheme="minorHAnsi"/>
              </w:rPr>
              <w:t>Approval, see Standing Orders Section 4 vi</w:t>
            </w:r>
          </w:p>
        </w:tc>
      </w:tr>
      <w:tr w:rsidR="00562BF9" w:rsidRPr="009855C4" w14:paraId="4639D180" w14:textId="77777777" w:rsidTr="001919FC">
        <w:tc>
          <w:tcPr>
            <w:tcW w:w="1560" w:type="dxa"/>
          </w:tcPr>
          <w:p w14:paraId="48C3E689" w14:textId="77777777" w:rsidR="00562BF9" w:rsidRPr="009855C4" w:rsidRDefault="00562BF9" w:rsidP="007D4538">
            <w:pPr>
              <w:spacing w:after="0" w:line="276" w:lineRule="auto"/>
              <w:rPr>
                <w:rFonts w:ascii="Aptos" w:hAnsi="Aptos" w:cstheme="minorHAnsi"/>
              </w:rPr>
            </w:pPr>
            <w:r w:rsidRPr="009855C4">
              <w:rPr>
                <w:rFonts w:ascii="Aptos" w:hAnsi="Aptos" w:cstheme="minorHAnsi"/>
              </w:rPr>
              <w:t>Minutes:</w:t>
            </w:r>
          </w:p>
        </w:tc>
        <w:tc>
          <w:tcPr>
            <w:tcW w:w="7371" w:type="dxa"/>
          </w:tcPr>
          <w:p w14:paraId="1E6FE891" w14:textId="77777777" w:rsidR="00562BF9" w:rsidRPr="009855C4" w:rsidRDefault="00562BF9" w:rsidP="007D4538">
            <w:pPr>
              <w:spacing w:after="0" w:line="276" w:lineRule="auto"/>
              <w:rPr>
                <w:rFonts w:ascii="Aptos" w:hAnsi="Aptos" w:cstheme="minorHAnsi"/>
              </w:rPr>
            </w:pPr>
            <w:r w:rsidRPr="009855C4">
              <w:rPr>
                <w:rFonts w:ascii="Aptos" w:hAnsi="Aptos" w:cstheme="minorHAnsi"/>
              </w:rPr>
              <w:t>Circulation/publication see Standing Orders Section 10</w:t>
            </w:r>
          </w:p>
        </w:tc>
      </w:tr>
      <w:tr w:rsidR="00562BF9" w:rsidRPr="009855C4" w14:paraId="4BCA1185" w14:textId="77777777" w:rsidTr="001919FC">
        <w:tc>
          <w:tcPr>
            <w:tcW w:w="1560" w:type="dxa"/>
          </w:tcPr>
          <w:p w14:paraId="3326F8A3" w14:textId="77777777" w:rsidR="00562BF9" w:rsidRPr="009855C4" w:rsidRDefault="00562BF9" w:rsidP="007D4538">
            <w:pPr>
              <w:spacing w:after="0" w:line="276" w:lineRule="auto"/>
              <w:rPr>
                <w:rFonts w:ascii="Aptos" w:hAnsi="Aptos" w:cstheme="minorHAnsi"/>
              </w:rPr>
            </w:pPr>
            <w:r w:rsidRPr="009855C4">
              <w:rPr>
                <w:rFonts w:ascii="Aptos" w:hAnsi="Aptos" w:cstheme="minorHAnsi"/>
              </w:rPr>
              <w:t>In attendance:</w:t>
            </w:r>
          </w:p>
        </w:tc>
        <w:tc>
          <w:tcPr>
            <w:tcW w:w="7371" w:type="dxa"/>
          </w:tcPr>
          <w:p w14:paraId="791D5695" w14:textId="67A9FBEE" w:rsidR="00562BF9" w:rsidRPr="009855C4" w:rsidRDefault="00562BF9" w:rsidP="007D4538">
            <w:pPr>
              <w:spacing w:after="0" w:line="276" w:lineRule="auto"/>
              <w:rPr>
                <w:rFonts w:ascii="Aptos" w:hAnsi="Aptos" w:cstheme="minorHAnsi"/>
              </w:rPr>
            </w:pPr>
            <w:r w:rsidRPr="009855C4">
              <w:rPr>
                <w:rFonts w:ascii="Aptos" w:hAnsi="Aptos" w:cstheme="minorHAnsi"/>
              </w:rPr>
              <w:t>Chief Financial Officer</w:t>
            </w:r>
          </w:p>
          <w:p w14:paraId="187E147D" w14:textId="0DFAD142" w:rsidR="00562BF9" w:rsidRPr="009855C4" w:rsidRDefault="00562BF9" w:rsidP="007D4538">
            <w:pPr>
              <w:spacing w:after="0" w:line="276" w:lineRule="auto"/>
              <w:rPr>
                <w:rFonts w:ascii="Aptos" w:hAnsi="Aptos" w:cstheme="minorHAnsi"/>
              </w:rPr>
            </w:pPr>
            <w:r w:rsidRPr="009855C4">
              <w:rPr>
                <w:rFonts w:ascii="Aptos" w:hAnsi="Aptos" w:cstheme="minorHAnsi"/>
              </w:rPr>
              <w:t>Chief Operating Officer</w:t>
            </w:r>
          </w:p>
          <w:p w14:paraId="58D2EE99" w14:textId="37F515FC" w:rsidR="006A62CA" w:rsidRPr="009855C4" w:rsidRDefault="006A62CA" w:rsidP="007D4538">
            <w:pPr>
              <w:spacing w:after="0" w:line="276" w:lineRule="auto"/>
              <w:rPr>
                <w:rFonts w:ascii="Aptos" w:hAnsi="Aptos" w:cstheme="minorHAnsi"/>
              </w:rPr>
            </w:pPr>
            <w:r w:rsidRPr="009855C4">
              <w:rPr>
                <w:rFonts w:ascii="Aptos" w:hAnsi="Aptos" w:cstheme="minorHAnsi"/>
              </w:rPr>
              <w:t>Deputy Chief Executive</w:t>
            </w:r>
          </w:p>
          <w:p w14:paraId="5BD72004" w14:textId="7F32BEE9" w:rsidR="00562BF9" w:rsidRPr="009855C4" w:rsidRDefault="00562BF9" w:rsidP="007D4538">
            <w:pPr>
              <w:spacing w:after="0" w:line="276" w:lineRule="auto"/>
              <w:rPr>
                <w:rFonts w:ascii="Aptos" w:hAnsi="Aptos" w:cstheme="minorHAnsi"/>
              </w:rPr>
            </w:pPr>
            <w:r w:rsidRPr="009855C4">
              <w:rPr>
                <w:rFonts w:ascii="Aptos" w:hAnsi="Aptos" w:cstheme="minorHAnsi"/>
              </w:rPr>
              <w:t xml:space="preserve">Group Director of Marketing </w:t>
            </w:r>
          </w:p>
          <w:p w14:paraId="1CF706BC" w14:textId="68D1D21C" w:rsidR="006C6501" w:rsidRPr="009855C4" w:rsidRDefault="006C6501" w:rsidP="007D4538">
            <w:pPr>
              <w:spacing w:after="0" w:line="276" w:lineRule="auto"/>
              <w:rPr>
                <w:rFonts w:ascii="Aptos" w:hAnsi="Aptos" w:cstheme="minorHAnsi"/>
              </w:rPr>
            </w:pPr>
            <w:r w:rsidRPr="009855C4">
              <w:rPr>
                <w:rFonts w:ascii="Aptos" w:hAnsi="Aptos" w:cstheme="minorHAnsi"/>
              </w:rPr>
              <w:t xml:space="preserve">Further staff members as required </w:t>
            </w:r>
          </w:p>
        </w:tc>
      </w:tr>
      <w:tr w:rsidR="00E24BFB" w:rsidRPr="009855C4" w14:paraId="66217FE4" w14:textId="77777777" w:rsidTr="001919FC">
        <w:tc>
          <w:tcPr>
            <w:tcW w:w="1560" w:type="dxa"/>
          </w:tcPr>
          <w:p w14:paraId="3A4DAB10" w14:textId="428AF5B8" w:rsidR="00E24BFB" w:rsidRPr="009855C4" w:rsidRDefault="00E24BFB" w:rsidP="007D4538">
            <w:pPr>
              <w:spacing w:after="0" w:line="276" w:lineRule="auto"/>
              <w:rPr>
                <w:rFonts w:ascii="Aptos" w:hAnsi="Aptos" w:cstheme="minorHAnsi"/>
              </w:rPr>
            </w:pPr>
            <w:r w:rsidRPr="009855C4">
              <w:rPr>
                <w:rFonts w:ascii="Aptos" w:hAnsi="Aptos" w:cstheme="minorHAnsi"/>
              </w:rPr>
              <w:t>Committee purpose:</w:t>
            </w:r>
          </w:p>
        </w:tc>
        <w:tc>
          <w:tcPr>
            <w:tcW w:w="7371" w:type="dxa"/>
          </w:tcPr>
          <w:p w14:paraId="13B81D1C" w14:textId="788EACF2" w:rsidR="00E24BFB" w:rsidRPr="009855C4" w:rsidRDefault="00E24BFB" w:rsidP="00210CE5">
            <w:pPr>
              <w:pStyle w:val="ListParagraph"/>
              <w:numPr>
                <w:ilvl w:val="0"/>
                <w:numId w:val="18"/>
              </w:numPr>
              <w:spacing w:line="276" w:lineRule="auto"/>
              <w:ind w:left="201" w:hanging="201"/>
              <w:rPr>
                <w:rFonts w:ascii="Aptos" w:hAnsi="Aptos" w:cstheme="minorHAnsi"/>
                <w:sz w:val="22"/>
                <w:szCs w:val="22"/>
              </w:rPr>
            </w:pPr>
            <w:r w:rsidRPr="009855C4">
              <w:rPr>
                <w:rFonts w:ascii="Aptos" w:hAnsi="Aptos" w:cstheme="minorHAnsi"/>
                <w:sz w:val="22"/>
                <w:szCs w:val="22"/>
              </w:rPr>
              <w:t xml:space="preserve">To support the FE Corporation in its core responsibilities to ensure Etc. remains a solvent institution, its resources are used effectively and </w:t>
            </w:r>
            <w:proofErr w:type="gramStart"/>
            <w:r w:rsidRPr="009855C4">
              <w:rPr>
                <w:rFonts w:ascii="Aptos" w:hAnsi="Aptos" w:cstheme="minorHAnsi"/>
                <w:sz w:val="22"/>
                <w:szCs w:val="22"/>
              </w:rPr>
              <w:t>efficiently</w:t>
            </w:r>
            <w:proofErr w:type="gramEnd"/>
            <w:r w:rsidRPr="009855C4">
              <w:rPr>
                <w:rFonts w:ascii="Aptos" w:hAnsi="Aptos" w:cstheme="minorHAnsi"/>
                <w:sz w:val="22"/>
                <w:szCs w:val="22"/>
              </w:rPr>
              <w:t xml:space="preserve"> and its assets are safeguarded</w:t>
            </w:r>
          </w:p>
          <w:p w14:paraId="09E9512C" w14:textId="5A0A8E41" w:rsidR="00E24BFB" w:rsidRPr="009855C4" w:rsidRDefault="00E24BFB" w:rsidP="00210CE5">
            <w:pPr>
              <w:pStyle w:val="ListParagraph"/>
              <w:numPr>
                <w:ilvl w:val="0"/>
                <w:numId w:val="18"/>
              </w:numPr>
              <w:spacing w:line="276" w:lineRule="auto"/>
              <w:ind w:left="201" w:hanging="201"/>
              <w:rPr>
                <w:rFonts w:ascii="Aptos" w:hAnsi="Aptos" w:cstheme="minorHAnsi"/>
                <w:sz w:val="22"/>
                <w:szCs w:val="22"/>
              </w:rPr>
            </w:pPr>
            <w:r w:rsidRPr="009855C4">
              <w:rPr>
                <w:rFonts w:ascii="Aptos" w:hAnsi="Aptos" w:cstheme="minorHAnsi"/>
                <w:sz w:val="22"/>
                <w:szCs w:val="22"/>
              </w:rPr>
              <w:t xml:space="preserve">To support the FE Corporation in achieving the strategic objectives set out in the Etc. Strategic Plan, particularly Strategic Objective 5, </w:t>
            </w:r>
            <w:r w:rsidR="006C6501" w:rsidRPr="009855C4">
              <w:rPr>
                <w:rFonts w:ascii="Aptos" w:hAnsi="Aptos" w:cstheme="minorHAnsi"/>
                <w:sz w:val="22"/>
                <w:szCs w:val="22"/>
              </w:rPr>
              <w:t>‘</w:t>
            </w:r>
            <w:r w:rsidRPr="009855C4">
              <w:rPr>
                <w:rFonts w:ascii="Aptos" w:hAnsi="Aptos" w:cstheme="minorHAnsi"/>
                <w:sz w:val="22"/>
                <w:szCs w:val="22"/>
              </w:rPr>
              <w:t>To meet the skills needs of key industries and local people by creating engaging learning environments reflecting the real world of work</w:t>
            </w:r>
            <w:r w:rsidR="006C6501" w:rsidRPr="009855C4">
              <w:rPr>
                <w:rFonts w:ascii="Aptos" w:hAnsi="Aptos" w:cstheme="minorHAnsi"/>
                <w:sz w:val="22"/>
                <w:szCs w:val="22"/>
              </w:rPr>
              <w:t>’</w:t>
            </w:r>
          </w:p>
          <w:p w14:paraId="50A85DC0" w14:textId="5F31FF33" w:rsidR="006C6501" w:rsidRPr="009855C4" w:rsidRDefault="005F1946" w:rsidP="007D4538">
            <w:pPr>
              <w:pStyle w:val="ListParagraph"/>
              <w:numPr>
                <w:ilvl w:val="0"/>
                <w:numId w:val="18"/>
              </w:numPr>
              <w:spacing w:line="276" w:lineRule="auto"/>
              <w:ind w:left="201" w:hanging="201"/>
              <w:rPr>
                <w:rFonts w:ascii="Aptos" w:hAnsi="Aptos" w:cstheme="minorHAnsi"/>
                <w:sz w:val="22"/>
                <w:szCs w:val="22"/>
              </w:rPr>
            </w:pPr>
            <w:r w:rsidRPr="009855C4">
              <w:rPr>
                <w:rFonts w:ascii="Aptos" w:hAnsi="Aptos" w:cstheme="minorHAnsi"/>
                <w:sz w:val="22"/>
                <w:szCs w:val="22"/>
              </w:rPr>
              <w:t>To support the FE Corporation in ensuring compliance with funding requirements and relevant legislation and guidance, including HMT ‘Managing Public Money’</w:t>
            </w:r>
            <w:r w:rsidR="006C6501" w:rsidRPr="009855C4">
              <w:rPr>
                <w:rFonts w:ascii="Aptos" w:hAnsi="Aptos" w:cstheme="minorHAnsi"/>
                <w:sz w:val="22"/>
                <w:szCs w:val="22"/>
              </w:rPr>
              <w:t xml:space="preserve"> and to gain assurance that Department for Education consent has been obtained for novel, contentious or repercussive transactions</w:t>
            </w:r>
          </w:p>
        </w:tc>
      </w:tr>
      <w:tr w:rsidR="00562BF9" w:rsidRPr="009855C4" w14:paraId="7BC4E85E" w14:textId="77777777" w:rsidTr="001919FC">
        <w:tc>
          <w:tcPr>
            <w:tcW w:w="1560" w:type="dxa"/>
          </w:tcPr>
          <w:p w14:paraId="220EF023" w14:textId="77777777" w:rsidR="00562BF9" w:rsidRPr="009855C4" w:rsidRDefault="00562BF9" w:rsidP="007D4538">
            <w:pPr>
              <w:spacing w:after="0" w:line="276" w:lineRule="auto"/>
              <w:rPr>
                <w:rFonts w:ascii="Aptos" w:hAnsi="Aptos" w:cstheme="minorHAnsi"/>
              </w:rPr>
            </w:pPr>
            <w:r w:rsidRPr="009855C4">
              <w:rPr>
                <w:rFonts w:ascii="Aptos" w:hAnsi="Aptos" w:cstheme="minorHAnsi"/>
              </w:rPr>
              <w:t xml:space="preserve">Key functions and delegated powers: </w:t>
            </w:r>
          </w:p>
        </w:tc>
        <w:tc>
          <w:tcPr>
            <w:tcW w:w="7371" w:type="dxa"/>
          </w:tcPr>
          <w:p w14:paraId="321F39DE" w14:textId="3FC4CB70" w:rsidR="00562BF9" w:rsidRPr="009855C4" w:rsidRDefault="00562BF9" w:rsidP="007D4538">
            <w:pPr>
              <w:pStyle w:val="ListParagraph"/>
              <w:numPr>
                <w:ilvl w:val="0"/>
                <w:numId w:val="15"/>
              </w:numPr>
              <w:spacing w:line="276" w:lineRule="auto"/>
              <w:jc w:val="both"/>
              <w:rPr>
                <w:rFonts w:ascii="Aptos" w:hAnsi="Aptos" w:cstheme="minorHAnsi"/>
                <w:b/>
                <w:sz w:val="22"/>
                <w:szCs w:val="22"/>
              </w:rPr>
            </w:pPr>
            <w:r w:rsidRPr="009855C4">
              <w:rPr>
                <w:rFonts w:ascii="Aptos" w:hAnsi="Aptos" w:cstheme="minorHAnsi"/>
                <w:b/>
                <w:sz w:val="22"/>
                <w:szCs w:val="22"/>
              </w:rPr>
              <w:t xml:space="preserve">Finance </w:t>
            </w:r>
          </w:p>
          <w:p w14:paraId="72FBDA9A" w14:textId="3A957933" w:rsidR="00562BF9" w:rsidRPr="009855C4" w:rsidRDefault="00562BF9" w:rsidP="007D4538">
            <w:pPr>
              <w:pStyle w:val="ListParagraph"/>
              <w:numPr>
                <w:ilvl w:val="1"/>
                <w:numId w:val="15"/>
              </w:numPr>
              <w:spacing w:line="276" w:lineRule="auto"/>
              <w:ind w:left="910" w:hanging="550"/>
              <w:jc w:val="both"/>
              <w:rPr>
                <w:rFonts w:ascii="Aptos" w:hAnsi="Aptos" w:cstheme="minorHAnsi"/>
                <w:sz w:val="22"/>
                <w:szCs w:val="22"/>
              </w:rPr>
            </w:pPr>
            <w:r w:rsidRPr="009855C4">
              <w:rPr>
                <w:rFonts w:ascii="Aptos" w:hAnsi="Aptos" w:cstheme="minorHAnsi"/>
                <w:sz w:val="22"/>
                <w:szCs w:val="22"/>
              </w:rPr>
              <w:t>To make recommendations to the Corporation on:</w:t>
            </w:r>
          </w:p>
          <w:p w14:paraId="42FE47CC" w14:textId="1E14E94F" w:rsidR="00562BF9" w:rsidRPr="009855C4" w:rsidRDefault="00562BF9" w:rsidP="007D4538">
            <w:pPr>
              <w:pStyle w:val="ListParagraph"/>
              <w:numPr>
                <w:ilvl w:val="2"/>
                <w:numId w:val="15"/>
              </w:numPr>
              <w:tabs>
                <w:tab w:val="left" w:pos="1593"/>
                <w:tab w:val="left" w:pos="1735"/>
              </w:tabs>
              <w:spacing w:line="276" w:lineRule="auto"/>
              <w:ind w:left="910" w:hanging="550"/>
              <w:jc w:val="both"/>
              <w:rPr>
                <w:rFonts w:ascii="Aptos" w:hAnsi="Aptos" w:cstheme="minorHAnsi"/>
                <w:sz w:val="22"/>
                <w:szCs w:val="22"/>
              </w:rPr>
            </w:pPr>
            <w:r w:rsidRPr="009855C4">
              <w:rPr>
                <w:rFonts w:ascii="Aptos" w:hAnsi="Aptos" w:cstheme="minorHAnsi"/>
                <w:sz w:val="22"/>
                <w:szCs w:val="22"/>
              </w:rPr>
              <w:t>The annual estimates of income and expenditure</w:t>
            </w:r>
          </w:p>
          <w:p w14:paraId="0AFB373F" w14:textId="77777777" w:rsidR="005F1946" w:rsidRPr="009855C4" w:rsidRDefault="00562BF9" w:rsidP="007D4538">
            <w:pPr>
              <w:pStyle w:val="ListParagraph"/>
              <w:numPr>
                <w:ilvl w:val="2"/>
                <w:numId w:val="15"/>
              </w:numPr>
              <w:tabs>
                <w:tab w:val="left" w:pos="1593"/>
                <w:tab w:val="left" w:pos="1735"/>
              </w:tabs>
              <w:spacing w:line="276" w:lineRule="auto"/>
              <w:ind w:left="910" w:hanging="550"/>
              <w:jc w:val="both"/>
              <w:rPr>
                <w:rFonts w:ascii="Aptos" w:hAnsi="Aptos" w:cstheme="minorHAnsi"/>
                <w:sz w:val="22"/>
                <w:szCs w:val="22"/>
              </w:rPr>
            </w:pPr>
            <w:r w:rsidRPr="009855C4">
              <w:rPr>
                <w:rFonts w:ascii="Aptos" w:hAnsi="Aptos" w:cstheme="minorHAnsi"/>
                <w:sz w:val="22"/>
                <w:szCs w:val="22"/>
              </w:rPr>
              <w:t>Major variations of expenditure</w:t>
            </w:r>
          </w:p>
          <w:p w14:paraId="768DFFD6" w14:textId="77777777" w:rsidR="005F1946" w:rsidRPr="009855C4" w:rsidRDefault="00562BF9" w:rsidP="007D4538">
            <w:pPr>
              <w:pStyle w:val="ListParagraph"/>
              <w:numPr>
                <w:ilvl w:val="2"/>
                <w:numId w:val="15"/>
              </w:numPr>
              <w:tabs>
                <w:tab w:val="left" w:pos="1593"/>
                <w:tab w:val="left" w:pos="1735"/>
              </w:tabs>
              <w:spacing w:line="276" w:lineRule="auto"/>
              <w:ind w:left="910" w:hanging="550"/>
              <w:jc w:val="both"/>
              <w:rPr>
                <w:rFonts w:ascii="Aptos" w:hAnsi="Aptos" w:cstheme="minorHAnsi"/>
                <w:sz w:val="22"/>
                <w:szCs w:val="22"/>
              </w:rPr>
            </w:pPr>
            <w:r w:rsidRPr="009855C4">
              <w:rPr>
                <w:rFonts w:ascii="Aptos" w:hAnsi="Aptos" w:cstheme="minorHAnsi"/>
                <w:sz w:val="22"/>
                <w:szCs w:val="22"/>
              </w:rPr>
              <w:t>Capital expenditure, funding and financing requirements</w:t>
            </w:r>
          </w:p>
          <w:p w14:paraId="1C1998B2" w14:textId="15C66143" w:rsidR="00562BF9" w:rsidRPr="009855C4" w:rsidRDefault="00562BF9" w:rsidP="007D4538">
            <w:pPr>
              <w:pStyle w:val="ListParagraph"/>
              <w:numPr>
                <w:ilvl w:val="2"/>
                <w:numId w:val="15"/>
              </w:numPr>
              <w:tabs>
                <w:tab w:val="left" w:pos="1593"/>
                <w:tab w:val="left" w:pos="1735"/>
              </w:tabs>
              <w:spacing w:line="276" w:lineRule="auto"/>
              <w:ind w:left="910" w:hanging="550"/>
              <w:jc w:val="both"/>
              <w:rPr>
                <w:rFonts w:ascii="Aptos" w:hAnsi="Aptos" w:cstheme="minorHAnsi"/>
                <w:sz w:val="22"/>
                <w:szCs w:val="22"/>
              </w:rPr>
            </w:pPr>
            <w:r w:rsidRPr="009855C4">
              <w:rPr>
                <w:rFonts w:ascii="Aptos" w:hAnsi="Aptos" w:cstheme="minorHAnsi"/>
                <w:sz w:val="22"/>
                <w:szCs w:val="22"/>
              </w:rPr>
              <w:t>The annual financial report</w:t>
            </w:r>
          </w:p>
          <w:p w14:paraId="1D03B00B" w14:textId="77777777" w:rsidR="00562BF9" w:rsidRPr="009855C4" w:rsidRDefault="00562BF9" w:rsidP="007D4538">
            <w:pPr>
              <w:spacing w:after="0" w:line="276" w:lineRule="auto"/>
              <w:ind w:left="910" w:hanging="550"/>
              <w:jc w:val="both"/>
              <w:rPr>
                <w:rFonts w:ascii="Aptos" w:hAnsi="Aptos" w:cstheme="minorHAnsi"/>
              </w:rPr>
            </w:pPr>
          </w:p>
          <w:p w14:paraId="3185657F" w14:textId="723CD733" w:rsidR="00562BF9" w:rsidRPr="009855C4" w:rsidRDefault="00562BF9" w:rsidP="007D4538">
            <w:pPr>
              <w:pStyle w:val="ListParagraph"/>
              <w:numPr>
                <w:ilvl w:val="1"/>
                <w:numId w:val="15"/>
              </w:numPr>
              <w:spacing w:line="276" w:lineRule="auto"/>
              <w:ind w:left="910" w:hanging="550"/>
              <w:jc w:val="both"/>
              <w:rPr>
                <w:rFonts w:ascii="Aptos" w:hAnsi="Aptos" w:cstheme="minorHAnsi"/>
                <w:sz w:val="22"/>
                <w:szCs w:val="22"/>
              </w:rPr>
            </w:pPr>
            <w:r w:rsidRPr="009855C4">
              <w:rPr>
                <w:rFonts w:ascii="Aptos" w:hAnsi="Aptos" w:cstheme="minorHAnsi"/>
                <w:sz w:val="22"/>
                <w:szCs w:val="22"/>
              </w:rPr>
              <w:t>To consider, review and report to the Corporation on the monthly financial monitoring reports (relating to revenue and capital budgets, cash flow and balance sheet) and any subsidiary or other joint venture</w:t>
            </w:r>
          </w:p>
          <w:p w14:paraId="65938842" w14:textId="77777777" w:rsidR="00562BF9" w:rsidRPr="009855C4" w:rsidRDefault="00562BF9" w:rsidP="007D4538">
            <w:pPr>
              <w:spacing w:after="0" w:line="276" w:lineRule="auto"/>
              <w:ind w:left="910" w:hanging="550"/>
              <w:jc w:val="both"/>
              <w:rPr>
                <w:rFonts w:ascii="Aptos" w:hAnsi="Aptos" w:cstheme="minorHAnsi"/>
              </w:rPr>
            </w:pPr>
          </w:p>
          <w:p w14:paraId="67DF44FC" w14:textId="5431FA98" w:rsidR="00562BF9" w:rsidRPr="009855C4" w:rsidRDefault="00562BF9" w:rsidP="007D4538">
            <w:pPr>
              <w:pStyle w:val="ListParagraph"/>
              <w:numPr>
                <w:ilvl w:val="1"/>
                <w:numId w:val="15"/>
              </w:numPr>
              <w:spacing w:line="276" w:lineRule="auto"/>
              <w:ind w:left="910" w:hanging="550"/>
              <w:jc w:val="both"/>
              <w:rPr>
                <w:rFonts w:ascii="Aptos" w:hAnsi="Aptos" w:cstheme="minorHAnsi"/>
                <w:sz w:val="22"/>
                <w:szCs w:val="22"/>
              </w:rPr>
            </w:pPr>
            <w:r w:rsidRPr="009855C4">
              <w:rPr>
                <w:rFonts w:ascii="Aptos" w:hAnsi="Aptos" w:cstheme="minorHAnsi"/>
                <w:sz w:val="22"/>
                <w:szCs w:val="22"/>
              </w:rPr>
              <w:lastRenderedPageBreak/>
              <w:t xml:space="preserve">To monitor student enrolment and associated funding against targets </w:t>
            </w:r>
          </w:p>
          <w:p w14:paraId="7B665ECB" w14:textId="77777777" w:rsidR="00562BF9" w:rsidRPr="009855C4" w:rsidRDefault="00562BF9" w:rsidP="007D4538">
            <w:pPr>
              <w:spacing w:after="0" w:line="276" w:lineRule="auto"/>
              <w:ind w:left="910" w:hanging="550"/>
              <w:jc w:val="both"/>
              <w:rPr>
                <w:rFonts w:ascii="Aptos" w:hAnsi="Aptos" w:cstheme="minorHAnsi"/>
              </w:rPr>
            </w:pPr>
          </w:p>
          <w:p w14:paraId="214F9D7D" w14:textId="78599546" w:rsidR="00562BF9" w:rsidRPr="009855C4" w:rsidRDefault="00562BF9" w:rsidP="007D4538">
            <w:pPr>
              <w:pStyle w:val="ListParagraph"/>
              <w:numPr>
                <w:ilvl w:val="1"/>
                <w:numId w:val="15"/>
              </w:numPr>
              <w:spacing w:line="276" w:lineRule="auto"/>
              <w:ind w:left="910" w:hanging="550"/>
              <w:jc w:val="both"/>
              <w:rPr>
                <w:rFonts w:ascii="Aptos" w:hAnsi="Aptos" w:cstheme="minorHAnsi"/>
                <w:sz w:val="22"/>
                <w:szCs w:val="22"/>
              </w:rPr>
            </w:pPr>
            <w:r w:rsidRPr="009855C4">
              <w:rPr>
                <w:rFonts w:ascii="Aptos" w:hAnsi="Aptos" w:cstheme="minorHAnsi"/>
                <w:sz w:val="22"/>
                <w:szCs w:val="22"/>
              </w:rPr>
              <w:t>To monitor non-core funding activity</w:t>
            </w:r>
          </w:p>
          <w:p w14:paraId="39FD30E9" w14:textId="77777777" w:rsidR="006014DB" w:rsidRPr="009855C4" w:rsidRDefault="006014DB" w:rsidP="007D4538">
            <w:pPr>
              <w:pStyle w:val="ListParagraph"/>
              <w:spacing w:line="276" w:lineRule="auto"/>
              <w:ind w:left="910" w:hanging="550"/>
              <w:rPr>
                <w:rFonts w:ascii="Aptos" w:hAnsi="Aptos" w:cstheme="minorHAnsi"/>
                <w:sz w:val="22"/>
                <w:szCs w:val="22"/>
              </w:rPr>
            </w:pPr>
          </w:p>
          <w:p w14:paraId="35BA1EB3" w14:textId="7F2F0131" w:rsidR="00562BF9" w:rsidRPr="009855C4" w:rsidRDefault="00562BF9" w:rsidP="007D4538">
            <w:pPr>
              <w:pStyle w:val="ListParagraph"/>
              <w:numPr>
                <w:ilvl w:val="1"/>
                <w:numId w:val="15"/>
              </w:numPr>
              <w:spacing w:line="276" w:lineRule="auto"/>
              <w:ind w:left="910" w:hanging="550"/>
              <w:jc w:val="both"/>
              <w:rPr>
                <w:rFonts w:ascii="Aptos" w:hAnsi="Aptos" w:cstheme="minorHAnsi"/>
                <w:sz w:val="22"/>
                <w:szCs w:val="22"/>
              </w:rPr>
            </w:pPr>
            <w:r w:rsidRPr="009855C4">
              <w:rPr>
                <w:rFonts w:ascii="Aptos" w:hAnsi="Aptos" w:cstheme="minorHAnsi"/>
                <w:sz w:val="22"/>
                <w:szCs w:val="22"/>
              </w:rPr>
              <w:t>To monitor levels of subcontracting and recommend changes to subcontracting arrangements to the FE Corporation</w:t>
            </w:r>
          </w:p>
          <w:p w14:paraId="420F3C9A" w14:textId="77777777" w:rsidR="006014DB" w:rsidRPr="009855C4" w:rsidRDefault="006014DB" w:rsidP="007D4538">
            <w:pPr>
              <w:pStyle w:val="ListParagraph"/>
              <w:spacing w:line="276" w:lineRule="auto"/>
              <w:ind w:left="910" w:hanging="550"/>
              <w:rPr>
                <w:rFonts w:ascii="Aptos" w:hAnsi="Aptos" w:cstheme="minorHAnsi"/>
                <w:sz w:val="22"/>
                <w:szCs w:val="22"/>
              </w:rPr>
            </w:pPr>
          </w:p>
          <w:p w14:paraId="55F11A1D" w14:textId="45D31207" w:rsidR="00562BF9" w:rsidRPr="009855C4" w:rsidRDefault="00562BF9" w:rsidP="007D4538">
            <w:pPr>
              <w:pStyle w:val="ListParagraph"/>
              <w:numPr>
                <w:ilvl w:val="1"/>
                <w:numId w:val="15"/>
              </w:numPr>
              <w:spacing w:line="276" w:lineRule="auto"/>
              <w:ind w:left="910" w:hanging="550"/>
              <w:jc w:val="both"/>
              <w:rPr>
                <w:rFonts w:ascii="Aptos" w:hAnsi="Aptos" w:cstheme="minorHAnsi"/>
                <w:sz w:val="22"/>
                <w:szCs w:val="22"/>
              </w:rPr>
            </w:pPr>
            <w:r w:rsidRPr="009855C4">
              <w:rPr>
                <w:rFonts w:ascii="Aptos" w:hAnsi="Aptos" w:cstheme="minorHAnsi"/>
                <w:sz w:val="22"/>
                <w:szCs w:val="22"/>
              </w:rPr>
              <w:t>To review arrangements for securing value for money, solvency and safeguarding of assets including an annual review of the portfolio of group insurances</w:t>
            </w:r>
          </w:p>
          <w:p w14:paraId="128905B6" w14:textId="77777777" w:rsidR="006014DB" w:rsidRPr="009855C4" w:rsidRDefault="006014DB" w:rsidP="007D4538">
            <w:pPr>
              <w:pStyle w:val="ListParagraph"/>
              <w:spacing w:line="276" w:lineRule="auto"/>
              <w:ind w:left="910" w:hanging="550"/>
              <w:rPr>
                <w:rFonts w:ascii="Aptos" w:hAnsi="Aptos" w:cstheme="minorHAnsi"/>
                <w:sz w:val="22"/>
                <w:szCs w:val="22"/>
              </w:rPr>
            </w:pPr>
          </w:p>
          <w:p w14:paraId="5D4E93AB" w14:textId="5D28EB7D" w:rsidR="00562BF9" w:rsidRPr="009855C4" w:rsidRDefault="00562BF9" w:rsidP="007D4538">
            <w:pPr>
              <w:pStyle w:val="ListParagraph"/>
              <w:numPr>
                <w:ilvl w:val="1"/>
                <w:numId w:val="15"/>
              </w:numPr>
              <w:spacing w:line="276" w:lineRule="auto"/>
              <w:ind w:left="910" w:hanging="550"/>
              <w:jc w:val="both"/>
              <w:rPr>
                <w:rFonts w:ascii="Aptos" w:hAnsi="Aptos" w:cstheme="minorHAnsi"/>
                <w:sz w:val="22"/>
                <w:szCs w:val="22"/>
              </w:rPr>
            </w:pPr>
            <w:r w:rsidRPr="009855C4">
              <w:rPr>
                <w:rFonts w:ascii="Aptos" w:hAnsi="Aptos" w:cstheme="minorHAnsi"/>
                <w:sz w:val="22"/>
                <w:szCs w:val="22"/>
              </w:rPr>
              <w:t xml:space="preserve">To agree variations to the financial forecast against budget </w:t>
            </w:r>
            <w:r w:rsidRPr="009855C4">
              <w:rPr>
                <w:rFonts w:ascii="Aptos" w:hAnsi="Aptos" w:cstheme="minorHAnsi"/>
                <w:strike/>
                <w:sz w:val="22"/>
                <w:szCs w:val="22"/>
              </w:rPr>
              <w:t xml:space="preserve"> </w:t>
            </w:r>
          </w:p>
          <w:p w14:paraId="599CDB42" w14:textId="77777777" w:rsidR="006014DB" w:rsidRPr="009855C4" w:rsidRDefault="006014DB" w:rsidP="007D4538">
            <w:pPr>
              <w:pStyle w:val="ListParagraph"/>
              <w:spacing w:line="276" w:lineRule="auto"/>
              <w:ind w:left="910" w:hanging="550"/>
              <w:rPr>
                <w:rFonts w:ascii="Aptos" w:hAnsi="Aptos" w:cstheme="minorHAnsi"/>
                <w:sz w:val="22"/>
                <w:szCs w:val="22"/>
              </w:rPr>
            </w:pPr>
          </w:p>
          <w:p w14:paraId="21A7800A" w14:textId="307720B7" w:rsidR="00562BF9" w:rsidRPr="009855C4" w:rsidRDefault="00562BF9" w:rsidP="007D4538">
            <w:pPr>
              <w:pStyle w:val="ListParagraph"/>
              <w:numPr>
                <w:ilvl w:val="1"/>
                <w:numId w:val="15"/>
              </w:numPr>
              <w:spacing w:line="276" w:lineRule="auto"/>
              <w:ind w:left="910" w:hanging="550"/>
              <w:jc w:val="both"/>
              <w:rPr>
                <w:rFonts w:ascii="Aptos" w:hAnsi="Aptos" w:cstheme="minorHAnsi"/>
                <w:sz w:val="22"/>
                <w:szCs w:val="22"/>
              </w:rPr>
            </w:pPr>
            <w:r w:rsidRPr="009855C4">
              <w:rPr>
                <w:rFonts w:ascii="Aptos" w:hAnsi="Aptos" w:cstheme="minorHAnsi"/>
                <w:sz w:val="22"/>
                <w:szCs w:val="22"/>
              </w:rPr>
              <w:t>To make recommendations to the Corporation on the financial regulations</w:t>
            </w:r>
          </w:p>
          <w:p w14:paraId="539FC573" w14:textId="77777777" w:rsidR="006014DB" w:rsidRPr="009855C4" w:rsidRDefault="006014DB" w:rsidP="007D4538">
            <w:pPr>
              <w:pStyle w:val="ListParagraph"/>
              <w:spacing w:line="276" w:lineRule="auto"/>
              <w:ind w:left="910" w:hanging="550"/>
              <w:rPr>
                <w:rFonts w:ascii="Aptos" w:hAnsi="Aptos" w:cstheme="minorHAnsi"/>
                <w:sz w:val="22"/>
                <w:szCs w:val="22"/>
              </w:rPr>
            </w:pPr>
          </w:p>
          <w:p w14:paraId="4A2382C2" w14:textId="77777777" w:rsidR="006014DB" w:rsidRPr="009855C4" w:rsidRDefault="00562BF9" w:rsidP="007D4538">
            <w:pPr>
              <w:pStyle w:val="ListParagraph"/>
              <w:numPr>
                <w:ilvl w:val="1"/>
                <w:numId w:val="15"/>
              </w:numPr>
              <w:spacing w:line="276" w:lineRule="auto"/>
              <w:ind w:left="910" w:hanging="550"/>
              <w:jc w:val="both"/>
              <w:rPr>
                <w:rFonts w:ascii="Aptos" w:hAnsi="Aptos" w:cstheme="minorHAnsi"/>
                <w:sz w:val="22"/>
                <w:szCs w:val="22"/>
              </w:rPr>
            </w:pPr>
            <w:r w:rsidRPr="009855C4">
              <w:rPr>
                <w:rFonts w:ascii="Aptos" w:hAnsi="Aptos" w:cstheme="minorHAnsi"/>
                <w:sz w:val="22"/>
                <w:szCs w:val="22"/>
              </w:rPr>
              <w:t>To approve relevant policies, specifically the tuition fee policy, the supply chain fees and charges policy and the Learner Support Fund Policy</w:t>
            </w:r>
          </w:p>
          <w:p w14:paraId="4F5C306E" w14:textId="77777777" w:rsidR="006014DB" w:rsidRPr="009855C4" w:rsidRDefault="006014DB" w:rsidP="007D4538">
            <w:pPr>
              <w:pStyle w:val="ListParagraph"/>
              <w:spacing w:line="276" w:lineRule="auto"/>
              <w:ind w:left="910" w:hanging="550"/>
              <w:rPr>
                <w:rFonts w:ascii="Aptos" w:hAnsi="Aptos" w:cstheme="minorHAnsi"/>
                <w:sz w:val="22"/>
                <w:szCs w:val="22"/>
              </w:rPr>
            </w:pPr>
          </w:p>
          <w:p w14:paraId="3E3231E5" w14:textId="212752EC" w:rsidR="00562BF9" w:rsidRPr="009855C4" w:rsidRDefault="00562BF9" w:rsidP="007D4538">
            <w:pPr>
              <w:pStyle w:val="ListParagraph"/>
              <w:numPr>
                <w:ilvl w:val="1"/>
                <w:numId w:val="15"/>
              </w:numPr>
              <w:spacing w:line="276" w:lineRule="auto"/>
              <w:ind w:left="910" w:hanging="550"/>
              <w:jc w:val="both"/>
              <w:rPr>
                <w:rFonts w:ascii="Aptos" w:hAnsi="Aptos" w:cstheme="minorHAnsi"/>
                <w:sz w:val="22"/>
                <w:szCs w:val="22"/>
              </w:rPr>
            </w:pPr>
            <w:r w:rsidRPr="009855C4">
              <w:rPr>
                <w:rFonts w:ascii="Aptos" w:hAnsi="Aptos" w:cstheme="minorHAnsi"/>
                <w:sz w:val="22"/>
                <w:szCs w:val="22"/>
              </w:rPr>
              <w:t>To determine the group investment and borrowing policies</w:t>
            </w:r>
          </w:p>
          <w:p w14:paraId="5EEA10B7" w14:textId="77777777" w:rsidR="006C6501" w:rsidRPr="009855C4" w:rsidRDefault="006C6501" w:rsidP="007D4538">
            <w:pPr>
              <w:pStyle w:val="ListParagraph"/>
              <w:spacing w:line="276" w:lineRule="auto"/>
              <w:rPr>
                <w:rFonts w:ascii="Aptos" w:hAnsi="Aptos" w:cstheme="minorHAnsi"/>
                <w:sz w:val="22"/>
                <w:szCs w:val="22"/>
              </w:rPr>
            </w:pPr>
          </w:p>
          <w:p w14:paraId="7CA4F223" w14:textId="1B281062" w:rsidR="006C6501" w:rsidRPr="009855C4" w:rsidRDefault="006C6501" w:rsidP="007D4538">
            <w:pPr>
              <w:pStyle w:val="ListParagraph"/>
              <w:numPr>
                <w:ilvl w:val="1"/>
                <w:numId w:val="15"/>
              </w:numPr>
              <w:spacing w:line="276" w:lineRule="auto"/>
              <w:ind w:left="910" w:hanging="550"/>
              <w:jc w:val="both"/>
              <w:rPr>
                <w:rFonts w:ascii="Aptos" w:hAnsi="Aptos" w:cstheme="minorHAnsi"/>
                <w:sz w:val="22"/>
                <w:szCs w:val="22"/>
              </w:rPr>
            </w:pPr>
            <w:r w:rsidRPr="009855C4">
              <w:rPr>
                <w:rFonts w:ascii="Aptos" w:hAnsi="Aptos" w:cstheme="minorHAnsi"/>
                <w:sz w:val="22"/>
                <w:szCs w:val="22"/>
              </w:rPr>
              <w:t>To ensure write-offs and losses comply with requirements as detailed in Managing Public Money, including obtaining consent from the Department for Education where appropriate</w:t>
            </w:r>
          </w:p>
          <w:p w14:paraId="70530961" w14:textId="77777777" w:rsidR="006014DB" w:rsidRPr="009855C4" w:rsidRDefault="006014DB" w:rsidP="007D4538">
            <w:pPr>
              <w:pStyle w:val="ListParagraph"/>
              <w:spacing w:line="276" w:lineRule="auto"/>
              <w:ind w:left="910" w:hanging="550"/>
              <w:rPr>
                <w:rFonts w:ascii="Aptos" w:hAnsi="Aptos" w:cstheme="minorHAnsi"/>
                <w:sz w:val="22"/>
                <w:szCs w:val="22"/>
              </w:rPr>
            </w:pPr>
          </w:p>
          <w:p w14:paraId="6D47E6AA" w14:textId="2D751023" w:rsidR="00562BF9" w:rsidRPr="009855C4" w:rsidRDefault="00562BF9" w:rsidP="007D4538">
            <w:pPr>
              <w:pStyle w:val="ListParagraph"/>
              <w:numPr>
                <w:ilvl w:val="1"/>
                <w:numId w:val="15"/>
              </w:numPr>
              <w:spacing w:line="276" w:lineRule="auto"/>
              <w:ind w:left="910" w:hanging="550"/>
              <w:jc w:val="both"/>
              <w:rPr>
                <w:rFonts w:ascii="Aptos" w:hAnsi="Aptos" w:cstheme="minorHAnsi"/>
                <w:sz w:val="22"/>
                <w:szCs w:val="22"/>
              </w:rPr>
            </w:pPr>
            <w:r w:rsidRPr="009855C4">
              <w:rPr>
                <w:rFonts w:ascii="Aptos" w:hAnsi="Aptos" w:cstheme="minorHAnsi"/>
                <w:sz w:val="22"/>
                <w:szCs w:val="22"/>
              </w:rPr>
              <w:t>To consider and advise on financial issues of a sensitive, confidential and/or strategically significant nature</w:t>
            </w:r>
          </w:p>
          <w:p w14:paraId="7A68EFAE" w14:textId="77777777" w:rsidR="00562BF9" w:rsidRPr="009855C4" w:rsidRDefault="00562BF9" w:rsidP="007D4538">
            <w:pPr>
              <w:spacing w:after="0" w:line="276" w:lineRule="auto"/>
              <w:jc w:val="both"/>
              <w:rPr>
                <w:rFonts w:ascii="Aptos" w:hAnsi="Aptos" w:cstheme="minorHAnsi"/>
              </w:rPr>
            </w:pPr>
          </w:p>
          <w:p w14:paraId="596BDDCD" w14:textId="0CD2CCBC" w:rsidR="00562BF9" w:rsidRPr="009855C4" w:rsidRDefault="0074270D" w:rsidP="007D4538">
            <w:pPr>
              <w:pStyle w:val="ListParagraph"/>
              <w:numPr>
                <w:ilvl w:val="0"/>
                <w:numId w:val="15"/>
              </w:numPr>
              <w:spacing w:line="276" w:lineRule="auto"/>
              <w:jc w:val="both"/>
              <w:rPr>
                <w:rFonts w:ascii="Aptos" w:hAnsi="Aptos" w:cstheme="minorHAnsi"/>
                <w:b/>
                <w:sz w:val="22"/>
                <w:szCs w:val="22"/>
              </w:rPr>
            </w:pPr>
            <w:r w:rsidRPr="009855C4">
              <w:rPr>
                <w:rFonts w:ascii="Aptos" w:hAnsi="Aptos" w:cstheme="minorHAnsi"/>
                <w:b/>
                <w:sz w:val="22"/>
                <w:szCs w:val="22"/>
              </w:rPr>
              <w:t>Capital projects</w:t>
            </w:r>
          </w:p>
          <w:p w14:paraId="0ACDBE52" w14:textId="77777777" w:rsidR="005F1946" w:rsidRPr="009855C4" w:rsidRDefault="005F1946" w:rsidP="007D4538">
            <w:pPr>
              <w:pStyle w:val="Header"/>
              <w:spacing w:line="276" w:lineRule="auto"/>
              <w:jc w:val="both"/>
              <w:rPr>
                <w:rFonts w:ascii="Aptos" w:hAnsi="Aptos" w:cstheme="minorHAnsi"/>
              </w:rPr>
            </w:pPr>
          </w:p>
          <w:p w14:paraId="48FA77D2" w14:textId="1A9C2C22" w:rsidR="005F1946" w:rsidRPr="009855C4" w:rsidRDefault="00562BF9" w:rsidP="007D4538">
            <w:pPr>
              <w:pStyle w:val="Header"/>
              <w:numPr>
                <w:ilvl w:val="1"/>
                <w:numId w:val="15"/>
              </w:numPr>
              <w:spacing w:line="276" w:lineRule="auto"/>
              <w:jc w:val="both"/>
              <w:rPr>
                <w:rFonts w:ascii="Aptos" w:hAnsi="Aptos" w:cstheme="minorHAnsi"/>
              </w:rPr>
            </w:pPr>
            <w:r w:rsidRPr="009855C4">
              <w:rPr>
                <w:rFonts w:ascii="Aptos" w:hAnsi="Aptos" w:cstheme="minorHAnsi"/>
              </w:rPr>
              <w:t xml:space="preserve">To </w:t>
            </w:r>
            <w:r w:rsidR="005F1946" w:rsidRPr="009855C4">
              <w:rPr>
                <w:rFonts w:ascii="Aptos" w:hAnsi="Aptos" w:cstheme="minorHAnsi"/>
              </w:rPr>
              <w:t xml:space="preserve">monitor progress against the Property Strategy </w:t>
            </w:r>
          </w:p>
          <w:p w14:paraId="7455D35D" w14:textId="77777777" w:rsidR="006014DB" w:rsidRPr="009855C4" w:rsidRDefault="006014DB" w:rsidP="007D4538">
            <w:pPr>
              <w:pStyle w:val="Header"/>
              <w:spacing w:line="276" w:lineRule="auto"/>
              <w:ind w:left="792"/>
              <w:jc w:val="both"/>
              <w:rPr>
                <w:rFonts w:ascii="Aptos" w:hAnsi="Aptos" w:cstheme="minorHAnsi"/>
              </w:rPr>
            </w:pPr>
          </w:p>
          <w:p w14:paraId="72B901AC" w14:textId="1B9A8DC6" w:rsidR="005F1946" w:rsidRPr="009855C4" w:rsidRDefault="005F1946" w:rsidP="007D4538">
            <w:pPr>
              <w:pStyle w:val="Header"/>
              <w:numPr>
                <w:ilvl w:val="1"/>
                <w:numId w:val="15"/>
              </w:numPr>
              <w:spacing w:line="276" w:lineRule="auto"/>
              <w:jc w:val="both"/>
              <w:rPr>
                <w:rFonts w:ascii="Aptos" w:hAnsi="Aptos" w:cstheme="minorHAnsi"/>
              </w:rPr>
            </w:pPr>
            <w:r w:rsidRPr="009855C4">
              <w:rPr>
                <w:rFonts w:ascii="Aptos" w:hAnsi="Aptos" w:cstheme="minorHAnsi"/>
              </w:rPr>
              <w:t>To provide governor input in relation to the development of major capital projects (which have a significant financial or strategic impact), including monitoring any acquisition or change of use of land or premises, and providing advice and support in relation to funding sources for any approved new build projects</w:t>
            </w:r>
          </w:p>
          <w:p w14:paraId="3F9C01F8" w14:textId="77777777" w:rsidR="006014DB" w:rsidRPr="009855C4" w:rsidRDefault="006014DB" w:rsidP="007D4538">
            <w:pPr>
              <w:pStyle w:val="ListParagraph"/>
              <w:spacing w:line="276" w:lineRule="auto"/>
              <w:rPr>
                <w:rFonts w:ascii="Aptos" w:hAnsi="Aptos" w:cstheme="minorHAnsi"/>
                <w:sz w:val="22"/>
                <w:szCs w:val="22"/>
              </w:rPr>
            </w:pPr>
          </w:p>
          <w:p w14:paraId="683B9447" w14:textId="7E247A47" w:rsidR="005F1946" w:rsidRPr="009855C4" w:rsidRDefault="00562BF9" w:rsidP="007D4538">
            <w:pPr>
              <w:pStyle w:val="Header"/>
              <w:numPr>
                <w:ilvl w:val="1"/>
                <w:numId w:val="15"/>
              </w:numPr>
              <w:spacing w:line="276" w:lineRule="auto"/>
              <w:jc w:val="both"/>
              <w:rPr>
                <w:rFonts w:ascii="Aptos" w:hAnsi="Aptos" w:cstheme="minorHAnsi"/>
              </w:rPr>
            </w:pPr>
            <w:r w:rsidRPr="009855C4">
              <w:rPr>
                <w:rFonts w:ascii="Aptos" w:hAnsi="Aptos" w:cstheme="minorHAnsi"/>
              </w:rPr>
              <w:t xml:space="preserve">To monitor the progress and impact of any major </w:t>
            </w:r>
            <w:r w:rsidR="005F1946" w:rsidRPr="009855C4">
              <w:rPr>
                <w:rFonts w:ascii="Aptos" w:hAnsi="Aptos" w:cstheme="minorHAnsi"/>
              </w:rPr>
              <w:t>capital projects</w:t>
            </w:r>
          </w:p>
          <w:p w14:paraId="7496FF09" w14:textId="77777777" w:rsidR="006014DB" w:rsidRPr="009855C4" w:rsidRDefault="006014DB" w:rsidP="007D4538">
            <w:pPr>
              <w:pStyle w:val="ListParagraph"/>
              <w:spacing w:line="276" w:lineRule="auto"/>
              <w:rPr>
                <w:rFonts w:ascii="Aptos" w:hAnsi="Aptos" w:cstheme="minorHAnsi"/>
                <w:sz w:val="22"/>
                <w:szCs w:val="22"/>
              </w:rPr>
            </w:pPr>
          </w:p>
          <w:p w14:paraId="254E2F41" w14:textId="77777777" w:rsidR="006014DB" w:rsidRPr="009855C4" w:rsidRDefault="005F1946" w:rsidP="007D4538">
            <w:pPr>
              <w:pStyle w:val="Header"/>
              <w:numPr>
                <w:ilvl w:val="1"/>
                <w:numId w:val="15"/>
              </w:numPr>
              <w:spacing w:line="276" w:lineRule="auto"/>
              <w:jc w:val="both"/>
              <w:rPr>
                <w:rFonts w:ascii="Aptos" w:hAnsi="Aptos" w:cstheme="minorHAnsi"/>
              </w:rPr>
            </w:pPr>
            <w:r w:rsidRPr="009855C4">
              <w:rPr>
                <w:rFonts w:ascii="Aptos" w:hAnsi="Aptos" w:cstheme="minorHAnsi"/>
              </w:rPr>
              <w:t>To ensure systems are in place to secure good value for money in capital projects, including overseeing arrangements for procurement of services</w:t>
            </w:r>
          </w:p>
          <w:p w14:paraId="437794F3" w14:textId="77777777" w:rsidR="006014DB" w:rsidRPr="009855C4" w:rsidRDefault="006014DB" w:rsidP="007D4538">
            <w:pPr>
              <w:pStyle w:val="ListParagraph"/>
              <w:spacing w:line="276" w:lineRule="auto"/>
              <w:rPr>
                <w:rFonts w:ascii="Aptos" w:hAnsi="Aptos" w:cstheme="minorHAnsi"/>
                <w:sz w:val="22"/>
                <w:szCs w:val="22"/>
              </w:rPr>
            </w:pPr>
          </w:p>
          <w:p w14:paraId="55E49D46" w14:textId="77777777" w:rsidR="006014DB" w:rsidRPr="009855C4" w:rsidRDefault="005F1946" w:rsidP="007D4538">
            <w:pPr>
              <w:pStyle w:val="Header"/>
              <w:numPr>
                <w:ilvl w:val="1"/>
                <w:numId w:val="15"/>
              </w:numPr>
              <w:spacing w:line="276" w:lineRule="auto"/>
              <w:jc w:val="both"/>
              <w:rPr>
                <w:rFonts w:ascii="Aptos" w:hAnsi="Aptos" w:cstheme="minorHAnsi"/>
              </w:rPr>
            </w:pPr>
            <w:r w:rsidRPr="009855C4">
              <w:rPr>
                <w:rFonts w:ascii="Aptos" w:hAnsi="Aptos" w:cstheme="minorHAnsi"/>
              </w:rPr>
              <w:lastRenderedPageBreak/>
              <w:t xml:space="preserve"> To receive regular reports on capital receipts and expenditure and agree priorities for capital spending, based on future needs, condition surveys and management of risk</w:t>
            </w:r>
          </w:p>
          <w:p w14:paraId="3E7277F2" w14:textId="77777777" w:rsidR="006014DB" w:rsidRPr="009855C4" w:rsidRDefault="006014DB" w:rsidP="007D4538">
            <w:pPr>
              <w:pStyle w:val="ListParagraph"/>
              <w:spacing w:line="276" w:lineRule="auto"/>
              <w:rPr>
                <w:rFonts w:ascii="Aptos" w:hAnsi="Aptos" w:cstheme="minorHAnsi"/>
                <w:sz w:val="22"/>
                <w:szCs w:val="22"/>
              </w:rPr>
            </w:pPr>
          </w:p>
          <w:p w14:paraId="0A1A52BE" w14:textId="3664D8F9" w:rsidR="00562BF9" w:rsidRPr="009855C4" w:rsidRDefault="00562BF9" w:rsidP="007D4538">
            <w:pPr>
              <w:pStyle w:val="Header"/>
              <w:numPr>
                <w:ilvl w:val="1"/>
                <w:numId w:val="15"/>
              </w:numPr>
              <w:spacing w:line="276" w:lineRule="auto"/>
              <w:jc w:val="both"/>
              <w:rPr>
                <w:rFonts w:ascii="Aptos" w:hAnsi="Aptos" w:cstheme="minorHAnsi"/>
              </w:rPr>
            </w:pPr>
            <w:r w:rsidRPr="009855C4">
              <w:rPr>
                <w:rFonts w:ascii="Aptos" w:hAnsi="Aptos" w:cstheme="minorHAnsi"/>
              </w:rPr>
              <w:t xml:space="preserve">To determine and monitor relevant strategies and policies related to </w:t>
            </w:r>
            <w:r w:rsidR="005F1946" w:rsidRPr="009855C4">
              <w:rPr>
                <w:rFonts w:ascii="Aptos" w:hAnsi="Aptos" w:cstheme="minorHAnsi"/>
              </w:rPr>
              <w:t xml:space="preserve">capital projects / </w:t>
            </w:r>
            <w:r w:rsidRPr="009855C4">
              <w:rPr>
                <w:rFonts w:ascii="Aptos" w:hAnsi="Aptos" w:cstheme="minorHAnsi"/>
              </w:rPr>
              <w:t xml:space="preserve">accommodation </w:t>
            </w:r>
          </w:p>
          <w:p w14:paraId="5FC1ED2B" w14:textId="77777777" w:rsidR="0074270D" w:rsidRPr="009855C4" w:rsidRDefault="0074270D" w:rsidP="007D4538">
            <w:pPr>
              <w:tabs>
                <w:tab w:val="left" w:pos="1168"/>
              </w:tabs>
              <w:spacing w:after="0" w:line="276" w:lineRule="auto"/>
              <w:jc w:val="both"/>
              <w:rPr>
                <w:rFonts w:ascii="Aptos" w:hAnsi="Aptos" w:cstheme="minorHAnsi"/>
              </w:rPr>
            </w:pPr>
          </w:p>
          <w:p w14:paraId="721A82A1" w14:textId="01914DFF" w:rsidR="0074270D" w:rsidRPr="009855C4" w:rsidRDefault="0074270D" w:rsidP="007D4538">
            <w:pPr>
              <w:pStyle w:val="ListParagraph"/>
              <w:numPr>
                <w:ilvl w:val="0"/>
                <w:numId w:val="15"/>
              </w:numPr>
              <w:tabs>
                <w:tab w:val="left" w:pos="485"/>
              </w:tabs>
              <w:spacing w:line="276" w:lineRule="auto"/>
              <w:jc w:val="both"/>
              <w:rPr>
                <w:rFonts w:ascii="Aptos" w:hAnsi="Aptos" w:cstheme="minorHAnsi"/>
                <w:b/>
                <w:sz w:val="22"/>
                <w:szCs w:val="22"/>
              </w:rPr>
            </w:pPr>
            <w:r w:rsidRPr="009855C4">
              <w:rPr>
                <w:rFonts w:ascii="Aptos" w:hAnsi="Aptos" w:cstheme="minorHAnsi"/>
                <w:b/>
                <w:sz w:val="22"/>
                <w:szCs w:val="22"/>
              </w:rPr>
              <w:t>Resources</w:t>
            </w:r>
            <w:r w:rsidR="006C6501" w:rsidRPr="009855C4">
              <w:rPr>
                <w:rFonts w:ascii="Aptos" w:hAnsi="Aptos" w:cstheme="minorHAnsi"/>
                <w:b/>
                <w:sz w:val="22"/>
                <w:szCs w:val="22"/>
              </w:rPr>
              <w:t xml:space="preserve"> and other items</w:t>
            </w:r>
          </w:p>
          <w:p w14:paraId="26F84391" w14:textId="77777777" w:rsidR="006014DB" w:rsidRPr="009855C4" w:rsidRDefault="006014DB" w:rsidP="007D4538">
            <w:pPr>
              <w:pStyle w:val="ListParagraph"/>
              <w:tabs>
                <w:tab w:val="left" w:pos="485"/>
              </w:tabs>
              <w:spacing w:line="276" w:lineRule="auto"/>
              <w:ind w:left="360"/>
              <w:jc w:val="both"/>
              <w:rPr>
                <w:rFonts w:ascii="Aptos" w:hAnsi="Aptos" w:cstheme="minorHAnsi"/>
                <w:b/>
                <w:sz w:val="22"/>
                <w:szCs w:val="22"/>
              </w:rPr>
            </w:pPr>
          </w:p>
          <w:p w14:paraId="4194BBE2" w14:textId="01F894D0" w:rsidR="008A0621" w:rsidRPr="009855C4" w:rsidRDefault="006014DB" w:rsidP="007D4538">
            <w:pPr>
              <w:pStyle w:val="Header"/>
              <w:numPr>
                <w:ilvl w:val="1"/>
                <w:numId w:val="15"/>
              </w:numPr>
              <w:spacing w:line="276" w:lineRule="auto"/>
              <w:jc w:val="both"/>
              <w:rPr>
                <w:rFonts w:ascii="Aptos" w:hAnsi="Aptos" w:cstheme="minorHAnsi"/>
              </w:rPr>
            </w:pPr>
            <w:r w:rsidRPr="009855C4">
              <w:rPr>
                <w:rFonts w:ascii="Aptos" w:hAnsi="Aptos" w:cstheme="minorHAnsi"/>
              </w:rPr>
              <w:t xml:space="preserve">To </w:t>
            </w:r>
            <w:r w:rsidR="008A0621" w:rsidRPr="009855C4">
              <w:rPr>
                <w:rFonts w:ascii="Aptos" w:hAnsi="Aptos" w:cstheme="minorHAnsi"/>
              </w:rPr>
              <w:t>support the Corporation in ensuring digital systems and processes are effective and appropriate; and to monitor development of and progress against digital strategies</w:t>
            </w:r>
          </w:p>
          <w:p w14:paraId="769EC7E3" w14:textId="77777777" w:rsidR="000F62DE" w:rsidRPr="009855C4" w:rsidRDefault="000F62DE" w:rsidP="009855C4">
            <w:pPr>
              <w:spacing w:line="276" w:lineRule="auto"/>
              <w:rPr>
                <w:rFonts w:ascii="Aptos" w:hAnsi="Aptos" w:cstheme="minorHAnsi"/>
              </w:rPr>
            </w:pPr>
          </w:p>
          <w:p w14:paraId="003A75B4" w14:textId="4DF1021A" w:rsidR="006C6501" w:rsidRPr="009855C4" w:rsidRDefault="006C6501" w:rsidP="007D4538">
            <w:pPr>
              <w:pStyle w:val="Header"/>
              <w:numPr>
                <w:ilvl w:val="1"/>
                <w:numId w:val="15"/>
              </w:numPr>
              <w:spacing w:line="276" w:lineRule="auto"/>
              <w:jc w:val="both"/>
              <w:rPr>
                <w:rFonts w:ascii="Aptos" w:hAnsi="Aptos" w:cstheme="minorHAnsi"/>
              </w:rPr>
            </w:pPr>
            <w:r w:rsidRPr="009855C4">
              <w:rPr>
                <w:rFonts w:ascii="Aptos" w:hAnsi="Aptos" w:cstheme="minorHAnsi"/>
              </w:rPr>
              <w:t>To ensure appropriate action is taken in respect of contracts, and to gain assurance that DfE consent has been sought for indemnities when required</w:t>
            </w:r>
          </w:p>
          <w:p w14:paraId="7643C69C" w14:textId="77777777" w:rsidR="006C6501" w:rsidRPr="009855C4" w:rsidRDefault="006C6501" w:rsidP="007D4538">
            <w:pPr>
              <w:pStyle w:val="ListParagraph"/>
              <w:spacing w:line="276" w:lineRule="auto"/>
              <w:rPr>
                <w:rFonts w:ascii="Aptos" w:hAnsi="Aptos" w:cstheme="minorHAnsi"/>
                <w:sz w:val="22"/>
                <w:szCs w:val="22"/>
              </w:rPr>
            </w:pPr>
          </w:p>
          <w:p w14:paraId="72C49CEB" w14:textId="0F4503DD" w:rsidR="006C6501" w:rsidRPr="009855C4" w:rsidRDefault="006C6501" w:rsidP="007D4538">
            <w:pPr>
              <w:pStyle w:val="Header"/>
              <w:spacing w:line="276" w:lineRule="auto"/>
              <w:ind w:left="792"/>
              <w:jc w:val="both"/>
              <w:rPr>
                <w:rFonts w:ascii="Aptos" w:hAnsi="Aptos" w:cstheme="minorHAnsi"/>
              </w:rPr>
            </w:pPr>
          </w:p>
        </w:tc>
      </w:tr>
    </w:tbl>
    <w:p w14:paraId="1AED044B" w14:textId="7199A797" w:rsidR="00562BF9" w:rsidRPr="009855C4" w:rsidRDefault="00562BF9" w:rsidP="007D4538">
      <w:pPr>
        <w:spacing w:after="0" w:line="276" w:lineRule="auto"/>
        <w:rPr>
          <w:rFonts w:ascii="Aptos" w:hAnsi="Aptos" w:cstheme="minorHAnsi"/>
          <w:b/>
          <w:bCs/>
        </w:rPr>
      </w:pPr>
    </w:p>
    <w:sectPr w:rsidR="00562BF9" w:rsidRPr="009855C4" w:rsidSect="007D0711">
      <w:pgSz w:w="11906" w:h="16838"/>
      <w:pgMar w:top="851"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E389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580B7A"/>
    <w:multiLevelType w:val="hybridMultilevel"/>
    <w:tmpl w:val="F3EC496E"/>
    <w:lvl w:ilvl="0" w:tplc="0AB042B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0A4C6B"/>
    <w:multiLevelType w:val="hybridMultilevel"/>
    <w:tmpl w:val="DAB26112"/>
    <w:lvl w:ilvl="0" w:tplc="E5DE31C6">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B428FD"/>
    <w:multiLevelType w:val="hybridMultilevel"/>
    <w:tmpl w:val="398AD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7B125D"/>
    <w:multiLevelType w:val="hybridMultilevel"/>
    <w:tmpl w:val="372C04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DA1F05"/>
    <w:multiLevelType w:val="hybridMultilevel"/>
    <w:tmpl w:val="E7B6C8D6"/>
    <w:lvl w:ilvl="0" w:tplc="948680C2">
      <w:start w:val="1"/>
      <w:numFmt w:val="lowerRoman"/>
      <w:lvlText w:val="%1)"/>
      <w:lvlJc w:val="left"/>
      <w:pPr>
        <w:tabs>
          <w:tab w:val="num" w:pos="720"/>
        </w:tabs>
        <w:ind w:left="720" w:hanging="720"/>
      </w:pPr>
      <w:rPr>
        <w:rFonts w:hint="default"/>
        <w:b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30D64EC8"/>
    <w:multiLevelType w:val="hybridMultilevel"/>
    <w:tmpl w:val="C714F456"/>
    <w:lvl w:ilvl="0" w:tplc="CB0051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736F42"/>
    <w:multiLevelType w:val="hybridMultilevel"/>
    <w:tmpl w:val="2E2EF3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AF3B92"/>
    <w:multiLevelType w:val="hybridMultilevel"/>
    <w:tmpl w:val="FB84BAF2"/>
    <w:lvl w:ilvl="0" w:tplc="72D00C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1E232D"/>
    <w:multiLevelType w:val="hybridMultilevel"/>
    <w:tmpl w:val="005C2C52"/>
    <w:lvl w:ilvl="0" w:tplc="E5DE31C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E72432"/>
    <w:multiLevelType w:val="hybridMultilevel"/>
    <w:tmpl w:val="7192714E"/>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C4476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654E8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CD6A4B"/>
    <w:multiLevelType w:val="multilevel"/>
    <w:tmpl w:val="FF0C2220"/>
    <w:lvl w:ilvl="0">
      <w:start w:val="2"/>
      <w:numFmt w:val="decimal"/>
      <w:lvlText w:val="%1"/>
      <w:lvlJc w:val="left"/>
      <w:pPr>
        <w:ind w:left="360" w:hanging="360"/>
      </w:pPr>
      <w:rPr>
        <w:rFonts w:hint="default"/>
      </w:rPr>
    </w:lvl>
    <w:lvl w:ilvl="1">
      <w:start w:val="3"/>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14" w15:restartNumberingAfterBreak="0">
    <w:nsid w:val="7889016B"/>
    <w:multiLevelType w:val="hybridMultilevel"/>
    <w:tmpl w:val="3D6836D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B496482"/>
    <w:multiLevelType w:val="multilevel"/>
    <w:tmpl w:val="29981B5E"/>
    <w:lvl w:ilvl="0">
      <w:start w:val="3"/>
      <w:numFmt w:val="decimal"/>
      <w:lvlText w:val="%1"/>
      <w:lvlJc w:val="left"/>
      <w:pPr>
        <w:ind w:left="720" w:hanging="360"/>
      </w:pPr>
      <w:rPr>
        <w:rFonts w:hint="default"/>
        <w:b w:val="0"/>
      </w:rPr>
    </w:lvl>
    <w:lvl w:ilvl="1">
      <w:start w:val="1"/>
      <w:numFmt w:val="decimal"/>
      <w:isLgl/>
      <w:lvlText w:val="%1.%2"/>
      <w:lvlJc w:val="left"/>
      <w:pPr>
        <w:ind w:left="153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050" w:hanging="1440"/>
      </w:pPr>
      <w:rPr>
        <w:rFonts w:hint="default"/>
      </w:rPr>
    </w:lvl>
    <w:lvl w:ilvl="6">
      <w:start w:val="1"/>
      <w:numFmt w:val="decimal"/>
      <w:isLgl/>
      <w:lvlText w:val="%1.%2.%3.%4.%5.%6.%7"/>
      <w:lvlJc w:val="left"/>
      <w:pPr>
        <w:ind w:left="4860" w:hanging="1800"/>
      </w:pPr>
      <w:rPr>
        <w:rFonts w:hint="default"/>
      </w:rPr>
    </w:lvl>
    <w:lvl w:ilvl="7">
      <w:start w:val="1"/>
      <w:numFmt w:val="decimal"/>
      <w:isLgl/>
      <w:lvlText w:val="%1.%2.%3.%4.%5.%6.%7.%8"/>
      <w:lvlJc w:val="left"/>
      <w:pPr>
        <w:ind w:left="5310" w:hanging="1800"/>
      </w:pPr>
      <w:rPr>
        <w:rFonts w:hint="default"/>
      </w:rPr>
    </w:lvl>
    <w:lvl w:ilvl="8">
      <w:start w:val="1"/>
      <w:numFmt w:val="decimal"/>
      <w:isLgl/>
      <w:lvlText w:val="%1.%2.%3.%4.%5.%6.%7.%8.%9"/>
      <w:lvlJc w:val="left"/>
      <w:pPr>
        <w:ind w:left="6120" w:hanging="2160"/>
      </w:pPr>
      <w:rPr>
        <w:rFonts w:hint="default"/>
      </w:rPr>
    </w:lvl>
  </w:abstractNum>
  <w:abstractNum w:abstractNumId="16" w15:restartNumberingAfterBreak="0">
    <w:nsid w:val="7BBC2D8E"/>
    <w:multiLevelType w:val="multilevel"/>
    <w:tmpl w:val="26AE38F0"/>
    <w:lvl w:ilvl="0">
      <w:start w:val="1"/>
      <w:numFmt w:val="decimal"/>
      <w:lvlText w:val="%1"/>
      <w:lvlJc w:val="left"/>
      <w:pPr>
        <w:ind w:left="924" w:hanging="564"/>
      </w:pPr>
      <w:rPr>
        <w:rFonts w:hint="default"/>
      </w:rPr>
    </w:lvl>
    <w:lvl w:ilvl="1">
      <w:start w:val="1"/>
      <w:numFmt w:val="decimal"/>
      <w:isLgl/>
      <w:lvlText w:val="%1.%2"/>
      <w:lvlJc w:val="left"/>
      <w:pPr>
        <w:ind w:left="1311" w:hanging="744"/>
      </w:pPr>
      <w:rPr>
        <w:rFonts w:hint="default"/>
      </w:rPr>
    </w:lvl>
    <w:lvl w:ilvl="2">
      <w:start w:val="1"/>
      <w:numFmt w:val="decimal"/>
      <w:isLgl/>
      <w:lvlText w:val="%1.%2.%3"/>
      <w:lvlJc w:val="left"/>
      <w:pPr>
        <w:ind w:left="1518" w:hanging="744"/>
      </w:pPr>
      <w:rPr>
        <w:rFonts w:hint="default"/>
      </w:rPr>
    </w:lvl>
    <w:lvl w:ilvl="3">
      <w:start w:val="1"/>
      <w:numFmt w:val="decimal"/>
      <w:isLgl/>
      <w:lvlText w:val="%1.%2.%3.%4"/>
      <w:lvlJc w:val="left"/>
      <w:pPr>
        <w:ind w:left="1725" w:hanging="744"/>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7" w15:restartNumberingAfterBreak="0">
    <w:nsid w:val="7BF71552"/>
    <w:multiLevelType w:val="hybridMultilevel"/>
    <w:tmpl w:val="BC7A0D8A"/>
    <w:lvl w:ilvl="0" w:tplc="FD36B1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09169503">
    <w:abstractNumId w:val="15"/>
  </w:num>
  <w:num w:numId="2" w16cid:durableId="1156068063">
    <w:abstractNumId w:val="5"/>
  </w:num>
  <w:num w:numId="3" w16cid:durableId="1226531281">
    <w:abstractNumId w:val="6"/>
  </w:num>
  <w:num w:numId="4" w16cid:durableId="451825702">
    <w:abstractNumId w:val="10"/>
  </w:num>
  <w:num w:numId="5" w16cid:durableId="1692146974">
    <w:abstractNumId w:val="1"/>
  </w:num>
  <w:num w:numId="6" w16cid:durableId="1174027041">
    <w:abstractNumId w:val="8"/>
  </w:num>
  <w:num w:numId="7" w16cid:durableId="273093578">
    <w:abstractNumId w:val="4"/>
  </w:num>
  <w:num w:numId="8" w16cid:durableId="417409285">
    <w:abstractNumId w:val="13"/>
  </w:num>
  <w:num w:numId="9" w16cid:durableId="731999461">
    <w:abstractNumId w:val="7"/>
  </w:num>
  <w:num w:numId="10" w16cid:durableId="132064506">
    <w:abstractNumId w:val="9"/>
  </w:num>
  <w:num w:numId="11" w16cid:durableId="1264262431">
    <w:abstractNumId w:val="2"/>
  </w:num>
  <w:num w:numId="12" w16cid:durableId="1864709742">
    <w:abstractNumId w:val="16"/>
  </w:num>
  <w:num w:numId="13" w16cid:durableId="1690065584">
    <w:abstractNumId w:val="12"/>
  </w:num>
  <w:num w:numId="14" w16cid:durableId="537669131">
    <w:abstractNumId w:val="11"/>
  </w:num>
  <w:num w:numId="15" w16cid:durableId="1905750124">
    <w:abstractNumId w:val="0"/>
  </w:num>
  <w:num w:numId="16" w16cid:durableId="29696790">
    <w:abstractNumId w:val="14"/>
  </w:num>
  <w:num w:numId="17" w16cid:durableId="1300921291">
    <w:abstractNumId w:val="17"/>
  </w:num>
  <w:num w:numId="18" w16cid:durableId="5594411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993"/>
    <w:rsid w:val="00084961"/>
    <w:rsid w:val="000F62DE"/>
    <w:rsid w:val="00104F7E"/>
    <w:rsid w:val="00126819"/>
    <w:rsid w:val="00130993"/>
    <w:rsid w:val="00141EF3"/>
    <w:rsid w:val="001919FC"/>
    <w:rsid w:val="00210CE5"/>
    <w:rsid w:val="00225507"/>
    <w:rsid w:val="00276050"/>
    <w:rsid w:val="00284EE3"/>
    <w:rsid w:val="004A08F2"/>
    <w:rsid w:val="004D58E9"/>
    <w:rsid w:val="0050792E"/>
    <w:rsid w:val="00527968"/>
    <w:rsid w:val="00562BF9"/>
    <w:rsid w:val="00563AD1"/>
    <w:rsid w:val="00596882"/>
    <w:rsid w:val="005B1A35"/>
    <w:rsid w:val="005B358E"/>
    <w:rsid w:val="005F1946"/>
    <w:rsid w:val="006014DB"/>
    <w:rsid w:val="006A62CA"/>
    <w:rsid w:val="006B64F6"/>
    <w:rsid w:val="006C6501"/>
    <w:rsid w:val="00731580"/>
    <w:rsid w:val="0074270D"/>
    <w:rsid w:val="00745D8D"/>
    <w:rsid w:val="007717B1"/>
    <w:rsid w:val="00780FD2"/>
    <w:rsid w:val="007D0711"/>
    <w:rsid w:val="007D4538"/>
    <w:rsid w:val="008A0621"/>
    <w:rsid w:val="0090331F"/>
    <w:rsid w:val="009400E6"/>
    <w:rsid w:val="009855C4"/>
    <w:rsid w:val="009F1A2C"/>
    <w:rsid w:val="00A86B9B"/>
    <w:rsid w:val="00A90977"/>
    <w:rsid w:val="00AE13BE"/>
    <w:rsid w:val="00B0010D"/>
    <w:rsid w:val="00B7259D"/>
    <w:rsid w:val="00B7350A"/>
    <w:rsid w:val="00BB3C8A"/>
    <w:rsid w:val="00C1584C"/>
    <w:rsid w:val="00C55956"/>
    <w:rsid w:val="00CE4F93"/>
    <w:rsid w:val="00CF4F44"/>
    <w:rsid w:val="00D46BC4"/>
    <w:rsid w:val="00E0313A"/>
    <w:rsid w:val="00E24BFB"/>
    <w:rsid w:val="00E75D47"/>
    <w:rsid w:val="00E82AFC"/>
    <w:rsid w:val="00F57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D7538"/>
  <w15:chartTrackingRefBased/>
  <w15:docId w15:val="{FBD7B9BC-81EC-4A2C-A2E7-157D35F33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9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30993"/>
    <w:pPr>
      <w:tabs>
        <w:tab w:val="center" w:pos="4513"/>
        <w:tab w:val="right" w:pos="9026"/>
      </w:tabs>
      <w:spacing w:after="0"/>
    </w:pPr>
  </w:style>
  <w:style w:type="character" w:customStyle="1" w:styleId="HeaderChar">
    <w:name w:val="Header Char"/>
    <w:basedOn w:val="DefaultParagraphFont"/>
    <w:link w:val="Header"/>
    <w:rsid w:val="00130993"/>
  </w:style>
  <w:style w:type="paragraph" w:styleId="ListParagraph">
    <w:name w:val="List Paragraph"/>
    <w:basedOn w:val="Normal"/>
    <w:link w:val="ListParagraphChar"/>
    <w:uiPriority w:val="34"/>
    <w:qFormat/>
    <w:rsid w:val="00130993"/>
    <w:pPr>
      <w:spacing w:after="0"/>
      <w:ind w:left="720"/>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86B9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B9B"/>
    <w:rPr>
      <w:rFonts w:ascii="Segoe UI" w:hAnsi="Segoe UI" w:cs="Segoe UI"/>
      <w:sz w:val="18"/>
      <w:szCs w:val="18"/>
    </w:rPr>
  </w:style>
  <w:style w:type="character" w:customStyle="1" w:styleId="ListParagraphChar">
    <w:name w:val="List Paragraph Char"/>
    <w:link w:val="ListParagraph"/>
    <w:uiPriority w:val="34"/>
    <w:locked/>
    <w:rsid w:val="00562BF9"/>
    <w:rPr>
      <w:rFonts w:ascii="Times New Roman" w:eastAsia="Times New Roman" w:hAnsi="Times New Roman" w:cs="Times New Roman"/>
      <w:sz w:val="24"/>
      <w:szCs w:val="24"/>
      <w:lang w:eastAsia="en-GB"/>
    </w:rPr>
  </w:style>
  <w:style w:type="table" w:styleId="TableGrid">
    <w:name w:val="Table Grid"/>
    <w:basedOn w:val="TableNormal"/>
    <w:uiPriority w:val="59"/>
    <w:rsid w:val="00562BF9"/>
    <w:pPr>
      <w:spacing w:after="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B1A35"/>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AF017689BF5E4FA60AB34DD0FFD031" ma:contentTypeVersion="16" ma:contentTypeDescription="Create a new document." ma:contentTypeScope="" ma:versionID="f22151e846c646f08ae831a0cc99fc45">
  <xsd:schema xmlns:xsd="http://www.w3.org/2001/XMLSchema" xmlns:xs="http://www.w3.org/2001/XMLSchema" xmlns:p="http://schemas.microsoft.com/office/2006/metadata/properties" xmlns:ns2="96892819-a44a-41ae-a563-e25c4856ab4f" xmlns:ns3="e3ad9946-2755-43c9-8f14-32279eff52bd" targetNamespace="http://schemas.microsoft.com/office/2006/metadata/properties" ma:root="true" ma:fieldsID="ad028b558d4e12e153e63c715d1e822f" ns2:_="" ns3:_="">
    <xsd:import namespace="96892819-a44a-41ae-a563-e25c4856ab4f"/>
    <xsd:import namespace="e3ad9946-2755-43c9-8f14-32279eff52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892819-a44a-41ae-a563-e25c4856ab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ee5a22-69dd-489d-8931-0c325d6f8ac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ad9946-2755-43c9-8f14-32279eff52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f6f1943-0108-4728-a164-7b95ff8dbb73}" ma:internalName="TaxCatchAll" ma:showField="CatchAllData" ma:web="e3ad9946-2755-43c9-8f14-32279eff52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6892819-a44a-41ae-a563-e25c4856ab4f">
      <Terms xmlns="http://schemas.microsoft.com/office/infopath/2007/PartnerControls"/>
    </lcf76f155ced4ddcb4097134ff3c332f>
    <TaxCatchAll xmlns="e3ad9946-2755-43c9-8f14-32279eff52bd" xsi:nil="true"/>
  </documentManagement>
</p:properties>
</file>

<file path=customXml/itemProps1.xml><?xml version="1.0" encoding="utf-8"?>
<ds:datastoreItem xmlns:ds="http://schemas.openxmlformats.org/officeDocument/2006/customXml" ds:itemID="{E49E6F2D-321B-48D0-BE4F-EDB9A042895F}">
  <ds:schemaRefs>
    <ds:schemaRef ds:uri="http://schemas.microsoft.com/sharepoint/v3/contenttype/forms"/>
  </ds:schemaRefs>
</ds:datastoreItem>
</file>

<file path=customXml/itemProps2.xml><?xml version="1.0" encoding="utf-8"?>
<ds:datastoreItem xmlns:ds="http://schemas.openxmlformats.org/officeDocument/2006/customXml" ds:itemID="{1EFD5E8D-34DC-434B-9E98-FF6493C034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892819-a44a-41ae-a563-e25c4856ab4f"/>
    <ds:schemaRef ds:uri="e3ad9946-2755-43c9-8f14-32279eff5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B184E6-34EC-433C-A59B-F518F0DEC33A}">
  <ds:schemaRefs>
    <ds:schemaRef ds:uri="http://schemas.microsoft.com/office/2006/metadata/properties"/>
    <ds:schemaRef ds:uri="http://schemas.microsoft.com/office/infopath/2007/PartnerControls"/>
    <ds:schemaRef ds:uri="96892819-a44a-41ae-a563-e25c4856ab4f"/>
    <ds:schemaRef ds:uri="e3ad9946-2755-43c9-8f14-32279eff52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Stockton Riverside College</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Thompson</dc:creator>
  <cp:keywords/>
  <dc:description/>
  <cp:lastModifiedBy>Sarah Thompson</cp:lastModifiedBy>
  <cp:revision>9</cp:revision>
  <dcterms:created xsi:type="dcterms:W3CDTF">2023-12-19T10:34:00Z</dcterms:created>
  <dcterms:modified xsi:type="dcterms:W3CDTF">2025-01-31T16:41:00Z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0x01010051AF017689BF5E4FA60AB34DD0FFD031</vt:lpwstr>
  </property>
  <property fmtid="{D5CDD505-2E9C-101B-9397-08002B2CF9AE}" pid="3" name="MediaServiceImageTags">
    <vt:lpwstr/>
  </property>
  <property fmtid="{D5CDD505-2E9C-101B-9397-08002B2CF9AE}" pid="4" name="MSIP_Label_67e08e62-16ad-4613-967d-21554f0d2219_Enabled">
    <vt:lpwstr>true</vt:lpwstr>
  </property>
  <property fmtid="{D5CDD505-2E9C-101B-9397-08002B2CF9AE}" pid="5" name="MSIP_Label_67e08e62-16ad-4613-967d-21554f0d2219_SetDate">
    <vt:lpwstr>2024-09-18T13:07:35Z</vt:lpwstr>
  </property>
  <property fmtid="{D5CDD505-2E9C-101B-9397-08002B2CF9AE}" pid="6" name="MSIP_Label_67e08e62-16ad-4613-967d-21554f0d2219_Method">
    <vt:lpwstr>Standard</vt:lpwstr>
  </property>
  <property fmtid="{D5CDD505-2E9C-101B-9397-08002B2CF9AE}" pid="7" name="MSIP_Label_67e08e62-16ad-4613-967d-21554f0d2219_Name">
    <vt:lpwstr>defa4170-0d19-0005-0004-bc88714345d2</vt:lpwstr>
  </property>
  <property fmtid="{D5CDD505-2E9C-101B-9397-08002B2CF9AE}" pid="8" name="MSIP_Label_67e08e62-16ad-4613-967d-21554f0d2219_SiteId">
    <vt:lpwstr>cb811789-d752-4ec2-8215-356e22c04d4f</vt:lpwstr>
  </property>
  <property fmtid="{D5CDD505-2E9C-101B-9397-08002B2CF9AE}" pid="9" name="MSIP_Label_67e08e62-16ad-4613-967d-21554f0d2219_ActionId">
    <vt:lpwstr>d02259eb-c448-4fa0-927b-08cb6244774f</vt:lpwstr>
  </property>
  <property fmtid="{D5CDD505-2E9C-101B-9397-08002B2CF9AE}" pid="10" name="MSIP_Label_67e08e62-16ad-4613-967d-21554f0d2219_ContentBits">
    <vt:lpwstr>0</vt:lpwstr>
  </property>
</Properties>
</file>