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F4AB" w14:textId="77777777" w:rsidR="00A91B51" w:rsidRPr="00A91B51" w:rsidRDefault="00A91B51" w:rsidP="00A91B51">
      <w:pPr>
        <w:spacing w:after="0" w:line="240" w:lineRule="auto"/>
        <w:jc w:val="both"/>
        <w:rPr>
          <w:b/>
          <w:sz w:val="24"/>
        </w:rPr>
      </w:pPr>
      <w:r w:rsidRPr="00A91B51">
        <w:rPr>
          <w:b/>
          <w:sz w:val="24"/>
        </w:rPr>
        <w:t xml:space="preserve">External Governance Review </w:t>
      </w:r>
    </w:p>
    <w:p w14:paraId="56D4EF47" w14:textId="77777777" w:rsidR="00A91B51" w:rsidRDefault="00A91B51" w:rsidP="00A91B51">
      <w:pPr>
        <w:spacing w:after="0" w:line="240" w:lineRule="auto"/>
        <w:jc w:val="both"/>
        <w:rPr>
          <w:sz w:val="24"/>
        </w:rPr>
      </w:pPr>
    </w:p>
    <w:p w14:paraId="41EC689C" w14:textId="77777777" w:rsidR="00A91B51" w:rsidRDefault="00A91B51" w:rsidP="00A91B5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An external review of governance was undertaken between May and July 2023 by Rachel Robson, Governance Consultant, on behalf of Stone King LLP. The review found that </w:t>
      </w:r>
      <w:r w:rsidRPr="00121A02">
        <w:rPr>
          <w:sz w:val="24"/>
        </w:rPr>
        <w:t xml:space="preserve">governance at Etc. is committed and structured, and demonstrates highly effective processes and practice. Further, that governors value the </w:t>
      </w:r>
      <w:r>
        <w:rPr>
          <w:sz w:val="24"/>
        </w:rPr>
        <w:t>G</w:t>
      </w:r>
      <w:r w:rsidRPr="00121A02">
        <w:rPr>
          <w:sz w:val="24"/>
        </w:rPr>
        <w:t>roup and its place in their local community and undertake their roles diligently;</w:t>
      </w:r>
      <w:r>
        <w:rPr>
          <w:sz w:val="24"/>
        </w:rPr>
        <w:t xml:space="preserve"> that</w:t>
      </w:r>
      <w:r w:rsidRPr="00121A02">
        <w:rPr>
          <w:sz w:val="24"/>
        </w:rPr>
        <w:t xml:space="preserve"> there is a positive culture within the members of the Governing Board and in their relationships with staff enabling and supporting balanced and well received challenge and support; and </w:t>
      </w:r>
      <w:r>
        <w:rPr>
          <w:sz w:val="24"/>
        </w:rPr>
        <w:t xml:space="preserve">that </w:t>
      </w:r>
      <w:r w:rsidRPr="00121A02">
        <w:rPr>
          <w:sz w:val="24"/>
        </w:rPr>
        <w:t>discussion and questioning</w:t>
      </w:r>
      <w:r>
        <w:rPr>
          <w:sz w:val="24"/>
        </w:rPr>
        <w:t xml:space="preserve"> are </w:t>
      </w:r>
      <w:r w:rsidRPr="00121A02">
        <w:rPr>
          <w:sz w:val="24"/>
        </w:rPr>
        <w:t xml:space="preserve">open and inclusive. A number of recommendations </w:t>
      </w:r>
      <w:r>
        <w:rPr>
          <w:sz w:val="24"/>
        </w:rPr>
        <w:t xml:space="preserve">and suggestions </w:t>
      </w:r>
      <w:r w:rsidRPr="00121A02">
        <w:rPr>
          <w:sz w:val="24"/>
        </w:rPr>
        <w:t xml:space="preserve">to further develop and strengthen the effectiveness of governance at </w:t>
      </w:r>
      <w:r>
        <w:rPr>
          <w:sz w:val="24"/>
        </w:rPr>
        <w:t xml:space="preserve">the </w:t>
      </w:r>
      <w:r w:rsidRPr="00121A02">
        <w:rPr>
          <w:sz w:val="24"/>
        </w:rPr>
        <w:t>Etc</w:t>
      </w:r>
      <w:r>
        <w:rPr>
          <w:sz w:val="24"/>
        </w:rPr>
        <w:t>.</w:t>
      </w:r>
      <w:r w:rsidRPr="00121A02">
        <w:rPr>
          <w:sz w:val="24"/>
        </w:rPr>
        <w:t xml:space="preserve"> were identified during the course of the review</w:t>
      </w:r>
      <w:r>
        <w:rPr>
          <w:sz w:val="24"/>
        </w:rPr>
        <w:t xml:space="preserve">. These were accepted by the Governing Body and, together with </w:t>
      </w:r>
      <w:r w:rsidRPr="00330922">
        <w:rPr>
          <w:sz w:val="24"/>
        </w:rPr>
        <w:t xml:space="preserve">improvement areas identified by governors during self-assessment activity, form the basis of a Governance Action Plan for 2023-24. </w:t>
      </w:r>
    </w:p>
    <w:p w14:paraId="2575FF24" w14:textId="77777777" w:rsidR="00A91B51" w:rsidRDefault="00A91B51" w:rsidP="00A91B51">
      <w:pPr>
        <w:spacing w:after="0" w:line="240" w:lineRule="auto"/>
        <w:jc w:val="both"/>
        <w:rPr>
          <w:sz w:val="24"/>
        </w:rPr>
      </w:pPr>
    </w:p>
    <w:p w14:paraId="3AC9D315" w14:textId="77777777" w:rsidR="00A91B51" w:rsidRDefault="00A91B51" w:rsidP="00A91B51">
      <w:pPr>
        <w:spacing w:after="0" w:line="240" w:lineRule="auto"/>
        <w:jc w:val="both"/>
        <w:rPr>
          <w:sz w:val="24"/>
        </w:rPr>
      </w:pPr>
      <w:r w:rsidRPr="00330922">
        <w:rPr>
          <w:sz w:val="24"/>
        </w:rPr>
        <w:t xml:space="preserve">The Governance Action Plan was approved by the </w:t>
      </w:r>
      <w:r>
        <w:rPr>
          <w:sz w:val="24"/>
        </w:rPr>
        <w:t>Governing Body</w:t>
      </w:r>
      <w:r w:rsidRPr="00330922">
        <w:rPr>
          <w:sz w:val="24"/>
        </w:rPr>
        <w:t xml:space="preserve"> at its meeting on </w:t>
      </w:r>
      <w:r w:rsidRPr="0004469C">
        <w:rPr>
          <w:sz w:val="24"/>
        </w:rPr>
        <w:t xml:space="preserve">19 October 2023 and the key actions are as follows: </w:t>
      </w:r>
    </w:p>
    <w:p w14:paraId="6BB39FA6" w14:textId="77777777" w:rsidR="00A91B51" w:rsidRPr="0004469C" w:rsidRDefault="00A91B51" w:rsidP="00A91B51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A91B51" w:rsidRPr="00330922" w14:paraId="7387995C" w14:textId="77777777" w:rsidTr="000624E9">
        <w:trPr>
          <w:trHeight w:val="269"/>
        </w:trPr>
        <w:tc>
          <w:tcPr>
            <w:tcW w:w="3119" w:type="dxa"/>
          </w:tcPr>
          <w:p w14:paraId="65008708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4469C">
              <w:rPr>
                <w:sz w:val="24"/>
                <w:szCs w:val="24"/>
              </w:rPr>
              <w:t>Risk Management</w:t>
            </w:r>
          </w:p>
        </w:tc>
        <w:tc>
          <w:tcPr>
            <w:tcW w:w="6379" w:type="dxa"/>
          </w:tcPr>
          <w:p w14:paraId="6049351E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 xml:space="preserve">Strategic Risk Register is streamlined and supports good governance </w:t>
            </w:r>
          </w:p>
        </w:tc>
      </w:tr>
      <w:tr w:rsidR="00A91B51" w:rsidRPr="00330922" w14:paraId="0A3B3327" w14:textId="77777777" w:rsidTr="000624E9">
        <w:trPr>
          <w:trHeight w:val="269"/>
        </w:trPr>
        <w:tc>
          <w:tcPr>
            <w:tcW w:w="3119" w:type="dxa"/>
            <w:vMerge w:val="restart"/>
          </w:tcPr>
          <w:p w14:paraId="341359FB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4469C">
              <w:rPr>
                <w:sz w:val="24"/>
                <w:szCs w:val="24"/>
              </w:rPr>
              <w:t>Agenda formation and meeting management</w:t>
            </w:r>
          </w:p>
        </w:tc>
        <w:tc>
          <w:tcPr>
            <w:tcW w:w="6379" w:type="dxa"/>
          </w:tcPr>
          <w:p w14:paraId="656FB9E3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Governing Body</w:t>
            </w:r>
            <w:r w:rsidRPr="0004469C">
              <w:rPr>
                <w:rFonts w:cstheme="minorHAnsi"/>
                <w:sz w:val="24"/>
                <w:szCs w:val="24"/>
              </w:rPr>
              <w:t xml:space="preserve"> agendas reflect core importance of Chief Executive report and work of committees</w:t>
            </w:r>
          </w:p>
        </w:tc>
      </w:tr>
      <w:tr w:rsidR="00A91B51" w:rsidRPr="00330922" w14:paraId="3B64B24D" w14:textId="77777777" w:rsidTr="000624E9">
        <w:trPr>
          <w:trHeight w:val="269"/>
        </w:trPr>
        <w:tc>
          <w:tcPr>
            <w:tcW w:w="3119" w:type="dxa"/>
            <w:vMerge/>
          </w:tcPr>
          <w:p w14:paraId="1C26120C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B8F16A5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All meeting attendees clearly understand agenda item resolution</w:t>
            </w:r>
          </w:p>
        </w:tc>
      </w:tr>
      <w:tr w:rsidR="00A91B51" w:rsidRPr="00330922" w14:paraId="1E86B666" w14:textId="77777777" w:rsidTr="000624E9">
        <w:trPr>
          <w:trHeight w:val="269"/>
        </w:trPr>
        <w:tc>
          <w:tcPr>
            <w:tcW w:w="3119" w:type="dxa"/>
            <w:vMerge w:val="restart"/>
          </w:tcPr>
          <w:p w14:paraId="2118FF47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Board documentation</w:t>
            </w:r>
          </w:p>
        </w:tc>
        <w:tc>
          <w:tcPr>
            <w:tcW w:w="6379" w:type="dxa"/>
          </w:tcPr>
          <w:p w14:paraId="57060F53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Governance responsibilities are clearly documented</w:t>
            </w:r>
          </w:p>
        </w:tc>
      </w:tr>
      <w:tr w:rsidR="00A91B51" w:rsidRPr="00330922" w14:paraId="3D93CAB8" w14:textId="77777777" w:rsidTr="000624E9">
        <w:trPr>
          <w:trHeight w:val="269"/>
        </w:trPr>
        <w:tc>
          <w:tcPr>
            <w:tcW w:w="3119" w:type="dxa"/>
            <w:vMerge/>
          </w:tcPr>
          <w:p w14:paraId="31103954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6740FED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Impact of link governor roles is evidenced</w:t>
            </w:r>
          </w:p>
        </w:tc>
      </w:tr>
      <w:tr w:rsidR="00A91B51" w:rsidRPr="00330922" w14:paraId="695DCF75" w14:textId="77777777" w:rsidTr="000624E9">
        <w:trPr>
          <w:trHeight w:val="269"/>
        </w:trPr>
        <w:tc>
          <w:tcPr>
            <w:tcW w:w="3119" w:type="dxa"/>
            <w:vMerge/>
          </w:tcPr>
          <w:p w14:paraId="69D4C397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2607463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Governor recruitment process is clearly documented, providing transparency to current and potential future governors</w:t>
            </w:r>
          </w:p>
        </w:tc>
      </w:tr>
      <w:tr w:rsidR="00A91B51" w:rsidRPr="00330922" w14:paraId="2DFB22DD" w14:textId="77777777" w:rsidTr="000624E9">
        <w:trPr>
          <w:trHeight w:val="269"/>
        </w:trPr>
        <w:tc>
          <w:tcPr>
            <w:tcW w:w="3119" w:type="dxa"/>
            <w:vMerge/>
          </w:tcPr>
          <w:p w14:paraId="4EEC9F02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69CF1F5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04469C">
              <w:rPr>
                <w:rFonts w:cstheme="minorHAnsi"/>
                <w:sz w:val="24"/>
                <w:szCs w:val="24"/>
              </w:rPr>
              <w:t xml:space="preserve">ontinuing effectiveness of </w:t>
            </w:r>
            <w:r>
              <w:rPr>
                <w:rFonts w:cstheme="minorHAnsi"/>
                <w:sz w:val="24"/>
                <w:szCs w:val="24"/>
              </w:rPr>
              <w:t>Governing Body</w:t>
            </w:r>
            <w:r w:rsidRPr="0004469C">
              <w:rPr>
                <w:rFonts w:cstheme="minorHAnsi"/>
                <w:sz w:val="24"/>
                <w:szCs w:val="24"/>
              </w:rPr>
              <w:t xml:space="preserve"> at all levels</w:t>
            </w:r>
            <w:r>
              <w:rPr>
                <w:rFonts w:cstheme="minorHAnsi"/>
                <w:sz w:val="24"/>
                <w:szCs w:val="24"/>
              </w:rPr>
              <w:t xml:space="preserve"> is ensured</w:t>
            </w:r>
          </w:p>
        </w:tc>
      </w:tr>
      <w:tr w:rsidR="00A91B51" w:rsidRPr="00330922" w14:paraId="01668E69" w14:textId="77777777" w:rsidTr="000624E9">
        <w:trPr>
          <w:trHeight w:val="269"/>
        </w:trPr>
        <w:tc>
          <w:tcPr>
            <w:tcW w:w="3119" w:type="dxa"/>
          </w:tcPr>
          <w:p w14:paraId="1675507B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Governance Professional</w:t>
            </w:r>
          </w:p>
        </w:tc>
        <w:tc>
          <w:tcPr>
            <w:tcW w:w="6379" w:type="dxa"/>
          </w:tcPr>
          <w:p w14:paraId="2D9D2A25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Reflect current role and responsibilities of Governance Team</w:t>
            </w:r>
          </w:p>
        </w:tc>
      </w:tr>
      <w:tr w:rsidR="00A91B51" w:rsidRPr="00330922" w14:paraId="093EC828" w14:textId="77777777" w:rsidTr="000624E9">
        <w:trPr>
          <w:trHeight w:val="269"/>
        </w:trPr>
        <w:tc>
          <w:tcPr>
            <w:tcW w:w="3119" w:type="dxa"/>
          </w:tcPr>
          <w:p w14:paraId="5671F1C3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Governance effectiveness reviews</w:t>
            </w:r>
          </w:p>
        </w:tc>
        <w:tc>
          <w:tcPr>
            <w:tcW w:w="6379" w:type="dxa"/>
          </w:tcPr>
          <w:p w14:paraId="6C54B8B4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Governance improvements are identified and actioned</w:t>
            </w:r>
          </w:p>
        </w:tc>
      </w:tr>
      <w:tr w:rsidR="00A91B51" w:rsidRPr="00330922" w14:paraId="472503E9" w14:textId="77777777" w:rsidTr="000624E9">
        <w:trPr>
          <w:trHeight w:val="269"/>
        </w:trPr>
        <w:tc>
          <w:tcPr>
            <w:tcW w:w="3119" w:type="dxa"/>
          </w:tcPr>
          <w:p w14:paraId="48915643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Report writing and meeting packs</w:t>
            </w:r>
          </w:p>
        </w:tc>
        <w:tc>
          <w:tcPr>
            <w:tcW w:w="6379" w:type="dxa"/>
          </w:tcPr>
          <w:p w14:paraId="0AA716DE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Reports and meeting packs support effective governance</w:t>
            </w:r>
          </w:p>
        </w:tc>
      </w:tr>
      <w:tr w:rsidR="00A91B51" w:rsidRPr="00330922" w14:paraId="5568AF9C" w14:textId="77777777" w:rsidTr="000624E9">
        <w:trPr>
          <w:trHeight w:val="306"/>
        </w:trPr>
        <w:tc>
          <w:tcPr>
            <w:tcW w:w="3119" w:type="dxa"/>
            <w:vMerge w:val="restart"/>
          </w:tcPr>
          <w:p w14:paraId="7213E380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Recruitment, retention and succession planning for Board and committee members</w:t>
            </w:r>
          </w:p>
        </w:tc>
        <w:tc>
          <w:tcPr>
            <w:tcW w:w="6379" w:type="dxa"/>
            <w:vMerge w:val="restart"/>
          </w:tcPr>
          <w:p w14:paraId="000B87E3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Continuing effectiveness of Standards Improvement Committee</w:t>
            </w:r>
          </w:p>
        </w:tc>
      </w:tr>
      <w:tr w:rsidR="00A91B51" w:rsidRPr="00330922" w14:paraId="014AA676" w14:textId="77777777" w:rsidTr="000624E9">
        <w:trPr>
          <w:trHeight w:val="306"/>
        </w:trPr>
        <w:tc>
          <w:tcPr>
            <w:tcW w:w="3119" w:type="dxa"/>
            <w:vMerge/>
          </w:tcPr>
          <w:p w14:paraId="2C25CA97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14:paraId="40D9DEF1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1B51" w:rsidRPr="00330922" w14:paraId="20166297" w14:textId="77777777" w:rsidTr="000624E9">
        <w:trPr>
          <w:trHeight w:val="58"/>
        </w:trPr>
        <w:tc>
          <w:tcPr>
            <w:tcW w:w="3119" w:type="dxa"/>
            <w:vMerge/>
          </w:tcPr>
          <w:p w14:paraId="27E0A75A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0810129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Continuing effectiveness of Audit Committee leadership</w:t>
            </w:r>
          </w:p>
        </w:tc>
      </w:tr>
      <w:tr w:rsidR="00A91B51" w:rsidRPr="00330922" w14:paraId="6D6C2FA9" w14:textId="77777777" w:rsidTr="000624E9">
        <w:trPr>
          <w:trHeight w:val="58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14:paraId="15D11140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Governor training and development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08F884A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Corporation </w:t>
            </w:r>
            <w:r w:rsidRPr="0004469C">
              <w:rPr>
                <w:rFonts w:cstheme="minorHAnsi"/>
                <w:sz w:val="24"/>
                <w:szCs w:val="24"/>
              </w:rPr>
              <w:t>Chair competent and confident around responsibilities; has access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4469C">
              <w:rPr>
                <w:rFonts w:cstheme="minorHAnsi"/>
                <w:sz w:val="24"/>
                <w:szCs w:val="24"/>
              </w:rPr>
              <w:t>to external support and advice</w:t>
            </w:r>
          </w:p>
        </w:tc>
      </w:tr>
      <w:tr w:rsidR="00A91B51" w:rsidRPr="00330922" w14:paraId="5BC08FD6" w14:textId="77777777" w:rsidTr="000624E9">
        <w:trPr>
          <w:trHeight w:val="58"/>
        </w:trPr>
        <w:tc>
          <w:tcPr>
            <w:tcW w:w="3119" w:type="dxa"/>
            <w:vMerge/>
          </w:tcPr>
          <w:p w14:paraId="6A6D49BF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DB31F31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Audit Committee competent and confident around responsibilities</w:t>
            </w:r>
          </w:p>
        </w:tc>
      </w:tr>
      <w:tr w:rsidR="00A91B51" w:rsidRPr="00330922" w14:paraId="58FE3030" w14:textId="77777777" w:rsidTr="000624E9">
        <w:trPr>
          <w:trHeight w:val="58"/>
        </w:trPr>
        <w:tc>
          <w:tcPr>
            <w:tcW w:w="3119" w:type="dxa"/>
            <w:vMerge/>
          </w:tcPr>
          <w:p w14:paraId="055AFA75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E471BB2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New governors receive appropriate and effective induction and are able to quickly contribute to effective governance</w:t>
            </w:r>
          </w:p>
        </w:tc>
      </w:tr>
      <w:tr w:rsidR="00A91B51" w:rsidRPr="00330922" w14:paraId="60D0AA24" w14:textId="77777777" w:rsidTr="000624E9">
        <w:trPr>
          <w:trHeight w:val="151"/>
        </w:trPr>
        <w:tc>
          <w:tcPr>
            <w:tcW w:w="3119" w:type="dxa"/>
            <w:vMerge/>
          </w:tcPr>
          <w:p w14:paraId="2A8B87F1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5EAEE9C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All governors have clear understanding of expectations in relation to training and development</w:t>
            </w:r>
          </w:p>
        </w:tc>
      </w:tr>
      <w:tr w:rsidR="00A91B51" w:rsidRPr="00330922" w14:paraId="4BC964EC" w14:textId="77777777" w:rsidTr="000624E9">
        <w:trPr>
          <w:trHeight w:val="58"/>
        </w:trPr>
        <w:tc>
          <w:tcPr>
            <w:tcW w:w="3119" w:type="dxa"/>
            <w:vMerge/>
          </w:tcPr>
          <w:p w14:paraId="401C0E41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F5BB207" w14:textId="77777777" w:rsidR="00A91B51" w:rsidRPr="0004469C" w:rsidRDefault="00A91B51" w:rsidP="000624E9">
            <w:pPr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Governors have deepened understanding of staff and/or student experience</w:t>
            </w:r>
          </w:p>
        </w:tc>
      </w:tr>
      <w:tr w:rsidR="00A91B51" w:rsidRPr="00B3423A" w14:paraId="69C9E7E8" w14:textId="77777777" w:rsidTr="000624E9">
        <w:trPr>
          <w:trHeight w:val="809"/>
        </w:trPr>
        <w:tc>
          <w:tcPr>
            <w:tcW w:w="3119" w:type="dxa"/>
          </w:tcPr>
          <w:p w14:paraId="08319C49" w14:textId="77777777" w:rsidR="00A91B51" w:rsidRPr="0004469C" w:rsidRDefault="00A91B51" w:rsidP="000624E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Maintaining and developing relationships between governors and senior managers</w:t>
            </w:r>
          </w:p>
        </w:tc>
        <w:tc>
          <w:tcPr>
            <w:tcW w:w="6379" w:type="dxa"/>
            <w:vAlign w:val="bottom"/>
          </w:tcPr>
          <w:p w14:paraId="72455B3B" w14:textId="77777777" w:rsidR="00A91B51" w:rsidRPr="00121A02" w:rsidRDefault="00A91B51" w:rsidP="000624E9">
            <w:pPr>
              <w:rPr>
                <w:rFonts w:cstheme="minorHAnsi"/>
                <w:sz w:val="24"/>
                <w:szCs w:val="24"/>
              </w:rPr>
            </w:pPr>
            <w:r w:rsidRPr="0004469C">
              <w:rPr>
                <w:rFonts w:cstheme="minorHAnsi"/>
                <w:sz w:val="24"/>
                <w:szCs w:val="24"/>
              </w:rPr>
              <w:t>Senior staff fully understand role and responsibilities of governors at early stage in appointment; senior staff are able to provide high quality reports and advice and guidance to governors</w:t>
            </w:r>
          </w:p>
        </w:tc>
      </w:tr>
    </w:tbl>
    <w:p w14:paraId="01D2AAB1" w14:textId="77777777" w:rsidR="00A91B51" w:rsidRDefault="00A91B51" w:rsidP="00A91B51">
      <w:pPr>
        <w:spacing w:after="0" w:line="240" w:lineRule="auto"/>
        <w:jc w:val="both"/>
      </w:pPr>
    </w:p>
    <w:p w14:paraId="09EB0200" w14:textId="77777777" w:rsidR="00A91B51" w:rsidRDefault="00A91B51" w:rsidP="00A91B51">
      <w:pPr>
        <w:spacing w:after="0" w:line="240" w:lineRule="auto"/>
        <w:jc w:val="both"/>
        <w:rPr>
          <w:sz w:val="24"/>
        </w:rPr>
      </w:pPr>
      <w:r w:rsidRPr="00121A02">
        <w:rPr>
          <w:sz w:val="24"/>
        </w:rPr>
        <w:t xml:space="preserve">The external governance review findings also reflect </w:t>
      </w:r>
      <w:r>
        <w:rPr>
          <w:sz w:val="24"/>
        </w:rPr>
        <w:t xml:space="preserve">outcomes of </w:t>
      </w:r>
      <w:r w:rsidRPr="00A92E3C">
        <w:rPr>
          <w:sz w:val="24"/>
        </w:rPr>
        <w:t xml:space="preserve">an Ofsted inspection undertaken in May 2022, </w:t>
      </w:r>
      <w:r>
        <w:rPr>
          <w:sz w:val="24"/>
        </w:rPr>
        <w:t xml:space="preserve">in which </w:t>
      </w:r>
      <w:r w:rsidRPr="00A92E3C">
        <w:rPr>
          <w:sz w:val="24"/>
        </w:rPr>
        <w:t xml:space="preserve">‘Leadership and Management’ was judged to be ‘Outstanding’ and it was acknowledged that ‘a rigorous governance model’ </w:t>
      </w:r>
      <w:r>
        <w:rPr>
          <w:sz w:val="24"/>
        </w:rPr>
        <w:t>was</w:t>
      </w:r>
      <w:r w:rsidRPr="00A92E3C">
        <w:rPr>
          <w:sz w:val="24"/>
        </w:rPr>
        <w:t xml:space="preserve"> in place and that ‘governors are extremely knowledgeable about the strengths and weaknesses of the </w:t>
      </w:r>
      <w:r>
        <w:rPr>
          <w:sz w:val="24"/>
        </w:rPr>
        <w:t>G</w:t>
      </w:r>
      <w:r w:rsidRPr="00A92E3C">
        <w:rPr>
          <w:sz w:val="24"/>
        </w:rPr>
        <w:t xml:space="preserve">roup and provide highly effective challenge to leaders’. </w:t>
      </w:r>
    </w:p>
    <w:p w14:paraId="17B8683C" w14:textId="77777777" w:rsidR="00E90D8B" w:rsidRDefault="00E90D8B"/>
    <w:sectPr w:rsidR="00E90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51"/>
    <w:rsid w:val="00A91B51"/>
    <w:rsid w:val="00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6D36"/>
  <w15:chartTrackingRefBased/>
  <w15:docId w15:val="{F209EC69-25D8-4B0B-9EBC-14993B48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B51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5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87A890636A04F9CC56D8970145701" ma:contentTypeVersion="17" ma:contentTypeDescription="Create a new document." ma:contentTypeScope="" ma:versionID="477364ac514670184c11e1c4798ca190">
  <xsd:schema xmlns:xsd="http://www.w3.org/2001/XMLSchema" xmlns:xs="http://www.w3.org/2001/XMLSchema" xmlns:p="http://schemas.microsoft.com/office/2006/metadata/properties" xmlns:ns2="e4f2c200-02cb-4bd6-8774-b788c1b7dcc0" xmlns:ns3="73077499-ca69-4782-a8c5-c4f14fdf1958" targetNamespace="http://schemas.microsoft.com/office/2006/metadata/properties" ma:root="true" ma:fieldsID="b818f1bc19ef9304764e87d79293d6e6" ns2:_="" ns3:_="">
    <xsd:import namespace="e4f2c200-02cb-4bd6-8774-b788c1b7dcc0"/>
    <xsd:import namespace="73077499-ca69-4782-a8c5-c4f14fdf1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c200-02cb-4bd6-8774-b788c1b7d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ee5a22-69dd-489d-8931-0c325d6f8a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77499-ca69-4782-a8c5-c4f14fdf1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ef3d06-67d1-4d2e-8962-8d07408354da}" ma:internalName="TaxCatchAll" ma:showField="CatchAllData" ma:web="73077499-ca69-4782-a8c5-c4f14fdf1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f2c200-02cb-4bd6-8774-b788c1b7dcc0">
      <Terms xmlns="http://schemas.microsoft.com/office/infopath/2007/PartnerControls"/>
    </lcf76f155ced4ddcb4097134ff3c332f>
    <TaxCatchAll xmlns="73077499-ca69-4782-a8c5-c4f14fdf1958"/>
  </documentManagement>
</p:properties>
</file>

<file path=customXml/itemProps1.xml><?xml version="1.0" encoding="utf-8"?>
<ds:datastoreItem xmlns:ds="http://schemas.openxmlformats.org/officeDocument/2006/customXml" ds:itemID="{19D9D8F5-602D-4667-8D9D-60E4E0554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c200-02cb-4bd6-8774-b788c1b7dcc0"/>
    <ds:schemaRef ds:uri="73077499-ca69-4782-a8c5-c4f14fdf1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CF67C-A1F3-431C-89D0-CDB802DF2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9EB74-D7F4-48B1-9494-005B70A95CF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e4f2c200-02cb-4bd6-8774-b788c1b7dcc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3077499-ca69-4782-a8c5-c4f14fdf19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Training Collective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Thompson</dc:creator>
  <cp:keywords/>
  <dc:description/>
  <cp:lastModifiedBy>Sarah Thompson</cp:lastModifiedBy>
  <cp:revision>1</cp:revision>
  <dcterms:created xsi:type="dcterms:W3CDTF">2023-12-19T10:24:00Z</dcterms:created>
  <dcterms:modified xsi:type="dcterms:W3CDTF">2023-12-19T10:25:00Z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0x01010006087A890636A04F9CC56D8970145701</vt:lpwstr>
  </property>
</Properties>
</file>